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and</w:t>
      </w:r>
      <w:r>
        <w:t xml:space="preserve"> </w:t>
      </w:r>
      <w:r>
        <w:t xml:space="preserve">thermodynamic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adaptation</w:t>
      </w:r>
    </w:p>
    <w:bookmarkStart w:id="20" w:name="X3423f2c197add093afbe280e32726330404e00a"/>
    <w:p>
      <w:pPr>
        <w:pStyle w:val="Heading2"/>
      </w:pPr>
      <w:r>
        <w:t xml:space="preserve">Dynamic and thermodynamic models of adaptation</w:t>
      </w:r>
    </w:p>
    <w:p>
      <w:pPr>
        <w:pStyle w:val="FirstParagraph"/>
      </w:pPr>
    </w:p>
    <w:bookmarkEnd w:id="20"/>
    <w:bookmarkStart w:id="22" w:name="abstract"/>
    <w:p>
      <w:pPr>
        <w:pStyle w:val="Heading2"/>
      </w:pPr>
      <w:r>
        <w:t xml:space="preserve">Abstract</w:t>
      </w:r>
    </w:p>
    <w:bookmarkStart w:id="21" w:name="key-words"/>
    <w:p>
      <w:pPr>
        <w:pStyle w:val="Heading3"/>
      </w:pPr>
      <w:r>
        <w:t xml:space="preserve">Key words</w:t>
      </w:r>
    </w:p>
    <w:bookmarkEnd w:id="21"/>
    <w:bookmarkEnd w:id="22"/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Теория графов позволила по-другому взглянуть на живые организмы и протекание биологических процессов. В отличие от простых моделей, описывающих конкретные процессы, сетевой анализ позволяет учесть множество взаимодействующих факторов, которые можно представить в качестве узлов графа, важность этих факторов в различных процессах (потенциальный атрибут веса узлов).</w:t>
      </w:r>
    </w:p>
    <w:p>
      <w:pPr>
        <w:pStyle w:val="BodyText"/>
      </w:pPr>
      <w:r>
        <w:t xml:space="preserve">Факторы неким образом взаимодействуют между собой и характер их взаимодействия возможно неким образом оценить. Такая оценка может быть представлена, как атрибут или вес ребра между факторами-узлами.</w:t>
      </w:r>
    </w:p>
    <w:p>
      <w:pPr>
        <w:pStyle w:val="BodyText"/>
      </w:pPr>
      <w:r>
        <w:t xml:space="preserve">Безусловно, в биологических процессах и живых системах характеристики протекающих процессов крайне изменчивы и имеют сложные распределения. Таким образом, представляется крайне сложным определить некие модели, описывающие взаимодействия между характеристиками и оценивающие вес самих факторов-узлов. Такие модели должны быть крайне сложными и нелинейными. Выбор конкретных моделей может быть осуществлен эмпирически.</w:t>
      </w:r>
    </w:p>
    <w:p>
      <w:pPr>
        <w:pStyle w:val="BodyText"/>
      </w:pPr>
      <w:r>
        <w:t xml:space="preserve">Более того, сетевой анализ позволяет еще и динамически оценивать системы, как изменения во времени структуры графа и его характеристик, что еще более приближает данный вид анализа к реалистичному описанию биологических систем. При оценке динамических колебаний в таких структурах перспективными напрвавлениями являются оценка реакций систем на какие-либо внешние раздражители, оценка адаптации, кризисных ситуаций и полной дезадаптации систем.</w:t>
      </w:r>
    </w:p>
    <w:p>
      <w:pPr>
        <w:pStyle w:val="BodyText"/>
      </w:pPr>
      <w:r>
        <w:drawing>
          <wp:inline>
            <wp:extent cx="4734084" cy="3571970"/>
            <wp:effectExtent b="0" l="0" r="0" t="0"/>
            <wp:docPr descr="Primer of weighted graph" title="" id="1" name="Picture"/>
            <a:graphic>
              <a:graphicData uri="http://schemas.openxmlformats.org/drawingml/2006/picture">
                <pic:pic>
                  <pic:nvPicPr>
                    <pic:cNvPr descr="./images/1.0-weighted-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84" cy="357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1.</w:t>
      </w:r>
      <w:r>
        <w:t xml:space="preserve"> </w:t>
      </w:r>
      <w:r>
        <w:t xml:space="preserve">Пример взвешенного графа. Вершины и ребра имеют размер и толщину в зависимости от их весов. Граф может быть и направленным, что может сделать модель более реалистичной.</w:t>
      </w:r>
    </w:p>
    <w:p>
      <w:pPr>
        <w:pStyle w:val="BodyText"/>
      </w:pPr>
      <w:r>
        <w:t xml:space="preserve">Наиболее важным есть и остается вопрос о выборе наиболее репрезентативной описательной модели взаимосвязей в графе.</w:t>
      </w:r>
    </w:p>
    <w:p>
      <w:pPr>
        <w:pStyle w:val="BodyText"/>
      </w:pPr>
      <w:r>
        <w:t xml:space="preserve">В таком случае, принципиальным вопросом является выбор той системы, которую мы рассматриваем в виде сети.</w:t>
      </w:r>
    </w:p>
    <w:p>
      <w:pPr>
        <w:pStyle w:val="BodyText"/>
      </w:pPr>
      <w:r>
        <w:t xml:space="preserve">Такими системами могут быть:</w:t>
      </w:r>
    </w:p>
    <w:p>
      <w:pPr>
        <w:numPr>
          <w:ilvl w:val="0"/>
          <w:numId w:val="1001"/>
        </w:numPr>
      </w:pPr>
      <w:r>
        <w:t xml:space="preserve">Некие индивидуальные экспериментальные единицы одного множества (пациенты, колонии бактерий, лабораторные животные, белковые системы и т.д.) - в таком случае, граф и будет представлять такую единицу. Все остальные единицы должны иметь сходный набор факторов, различия же будут отмечаться лишь по весам вершин и ребер;</w:t>
      </w:r>
    </w:p>
    <w:p>
      <w:pPr>
        <w:numPr>
          <w:ilvl w:val="0"/>
          <w:numId w:val="1001"/>
        </w:numPr>
      </w:pPr>
      <w:r>
        <w:t xml:space="preserve">Одна единственная система, динамически меняющаяся во времени. В таком случае, ее состояния в различных временных точках могут быть представлены в виде графов. Такие сети также должны иметь сходный наборр характеристик (узлы), чьи веса и взаимные связи (атрибуты ребер) меняются со временем;</w:t>
      </w:r>
    </w:p>
    <w:p>
      <w:pPr>
        <w:numPr>
          <w:ilvl w:val="0"/>
          <w:numId w:val="1001"/>
        </w:numPr>
      </w:pPr>
      <w:r>
        <w:t xml:space="preserve">Некие индивидуальные экспериментальные единицы одного множества, свойства которого меняются со временем. Таким образом, будет получен набор графов, характеризующий каждую индивидуальную экспериментальную единицу, как в случае (1), а также для каждой такой единицы с учетом временных точек возможно будет построить динамические графы, как в случае (2).</w:t>
      </w:r>
    </w:p>
    <w:p>
      <w:pPr>
        <w:pStyle w:val="FirstParagraph"/>
      </w:pPr>
      <w:r>
        <w:t xml:space="preserve">Каким же образом оценивать связи и веса в таких графах?</w:t>
      </w:r>
    </w:p>
    <w:p>
      <w:pPr>
        <w:pStyle w:val="BodyText"/>
      </w:pPr>
      <w:r>
        <w:t xml:space="preserve">Если говорить о моделях, работающих на уровне биохимических показателей, иммунологических реакций, описывающих генетические полдиморфизмы и т.д. - подавляющее большинство характеристик экспериментальной единицы являются количественными. При рассмотрении пациента в рамках экспериментальной единицы, его истори заболевания и результатов обследований, других характеристик, большая часть из них являются качественными.</w:t>
      </w:r>
    </w:p>
    <w:p>
      <w:pPr>
        <w:pStyle w:val="BodyText"/>
      </w:pPr>
      <w:r>
        <w:t xml:space="preserve">В настоящей главе авторы приводят протокол для моделей, описывающих взаимодействие количественных переменных.</w:t>
      </w:r>
      <w:r>
        <w:t xml:space="preserve"> </w:t>
      </w:r>
      <w:r>
        <w:t xml:space="preserve">Мы рассмотрим методы построения наиболее изученных моделей, которые уже неоднократно были использованы в экспериментальных исследованиях:</w:t>
      </w:r>
    </w:p>
    <w:p>
      <w:pPr>
        <w:numPr>
          <w:ilvl w:val="0"/>
          <w:numId w:val="1002"/>
        </w:numPr>
        <w:pStyle w:val="Compact"/>
      </w:pPr>
      <w:r>
        <w:t xml:space="preserve">паренклитические графы с использованием порога</w:t>
      </w:r>
      <w:r>
        <w:t xml:space="preserve">[1]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взвешенные паренклитические графы</w:t>
      </w:r>
      <w:r>
        <w:t xml:space="preserve">[2]</w:t>
      </w:r>
      <w:r>
        <w:t xml:space="preserve">,</w:t>
      </w:r>
      <w:r>
        <w:t xml:space="preserve"> </w:t>
      </w:r>
      <w:r>
        <w:t xml:space="preserve">[3]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взвешенные синолитические графы</w:t>
      </w:r>
      <w:r>
        <w:t xml:space="preserve">[4]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корреляционные графы с использованием порога</w:t>
      </w:r>
      <w:r>
        <w:t xml:space="preserve">[5]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взвешенные корреляционные графы</w:t>
      </w:r>
      <w:r>
        <w:t xml:space="preserve">[5]</w:t>
      </w:r>
      <w:r>
        <w:t xml:space="preserve">.</w:t>
      </w:r>
    </w:p>
    <w:p>
      <w:pPr>
        <w:pStyle w:val="FirstParagraph"/>
      </w:pPr>
      <w:r>
        <w:t xml:space="preserve">Существуют несколько логических этапов, связанных с рассмотрением экспериментальных единиц в разрезе сетевого анализа:</w:t>
      </w:r>
    </w:p>
    <w:p>
      <w:pPr>
        <w:numPr>
          <w:ilvl w:val="0"/>
          <w:numId w:val="1003"/>
        </w:numPr>
        <w:pStyle w:val="Compact"/>
      </w:pPr>
      <w:r>
        <w:t xml:space="preserve">Выбор задач по работе с системой, которую мы хотим представить в виде сети - будет ли это задача классификации или оценка динамических изменений?</w:t>
      </w:r>
    </w:p>
    <w:p>
      <w:pPr>
        <w:numPr>
          <w:ilvl w:val="0"/>
          <w:numId w:val="1003"/>
        </w:numPr>
        <w:pStyle w:val="Compact"/>
      </w:pPr>
      <w:r>
        <w:t xml:space="preserve">Предварительная трансформация данных;</w:t>
      </w:r>
    </w:p>
    <w:p>
      <w:pPr>
        <w:numPr>
          <w:ilvl w:val="0"/>
          <w:numId w:val="1003"/>
        </w:numPr>
        <w:pStyle w:val="Compact"/>
      </w:pPr>
      <w:r>
        <w:t xml:space="preserve">Определение характеристик, которые будут являться узлами будущего графа;</w:t>
      </w:r>
    </w:p>
    <w:p>
      <w:pPr>
        <w:numPr>
          <w:ilvl w:val="0"/>
          <w:numId w:val="1003"/>
        </w:numPr>
        <w:pStyle w:val="Compact"/>
      </w:pPr>
      <w:r>
        <w:t xml:space="preserve">Выбор метода, который позволит оценить вес ребер (фактически, отражает выбор модели из списка выше);</w:t>
      </w:r>
    </w:p>
    <w:p>
      <w:pPr>
        <w:numPr>
          <w:ilvl w:val="0"/>
          <w:numId w:val="1003"/>
        </w:numPr>
        <w:pStyle w:val="Compact"/>
      </w:pPr>
      <w:r>
        <w:t xml:space="preserve">Построение графа с использованием порога или взвешенного графа;</w:t>
      </w:r>
    </w:p>
    <w:p>
      <w:pPr>
        <w:pStyle w:val="FirstParagraph"/>
      </w:pPr>
      <w:r>
        <w:t xml:space="preserve">Далее мы можем пойти одним из двух путей: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</w:pPr>
      <w:r>
        <w:t xml:space="preserve">Расчет ряда показателей для каждого графа и последующая работа с этими показателями, как с новыми характеристиками экспериментальной единицы. Мы затем можем трансформировать данные и отправить их на обучение некоего классификатора (алгоритм машинного обучения, нейронная сеть и т.д.);</w:t>
      </w:r>
    </w:p>
    <w:p>
      <w:pPr>
        <w:numPr>
          <w:ilvl w:val="1"/>
          <w:numId w:val="1005"/>
        </w:numPr>
      </w:pPr>
      <w:r>
        <w:t xml:space="preserve">Отправка целого графа или массива из графов для обучения в графовую нейронную сеть (GNN).</w:t>
      </w:r>
    </w:p>
    <w:bookmarkEnd w:id="24"/>
    <w:bookmarkStart w:id="31" w:name="materials"/>
    <w:p>
      <w:pPr>
        <w:pStyle w:val="Heading2"/>
      </w:pPr>
      <w:r>
        <w:t xml:space="preserve">Materials</w:t>
      </w:r>
    </w:p>
    <w:bookmarkStart w:id="26" w:name="взвешенные-паренклитические-сети-wlrpa"/>
    <w:p>
      <w:pPr>
        <w:pStyle w:val="Heading3"/>
      </w:pPr>
      <w:r>
        <w:t xml:space="preserve">Взвешенные паренклитические сети (wLRPA)</w:t>
      </w:r>
    </w:p>
    <w:p>
      <w:pPr>
        <w:numPr>
          <w:ilvl w:val="0"/>
          <w:numId w:val="1006"/>
        </w:numPr>
      </w:pPr>
      <w:r>
        <w:t xml:space="preserve">Выделяется экспериментальные единицы, которые являются контрольной группой - данная группа представляет множество</w:t>
      </w:r>
      <w:r>
        <w:t xml:space="preserve"> </w:t>
      </w:r>
      <w:r>
        <w:t xml:space="preserve">“</w:t>
      </w:r>
      <w:r>
        <w:t xml:space="preserve">здоровых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единиц.</w:t>
      </w:r>
    </w:p>
    <w:p>
      <w:pPr>
        <w:numPr>
          <w:ilvl w:val="0"/>
          <w:numId w:val="1006"/>
        </w:numPr>
      </w:pPr>
      <w:r>
        <w:t xml:space="preserve">Выделяются попарные комбинации без повторений между характеристиками единицы. Например, при наличии 3-х характеристик единицы [А, В, С] попарные комбинации будут следующие: [A-B, A-C, B-C]. Для дальнейшего построениия графов и работы с ними важно, чтобы сами комбинации и порядок элементов были идентичными для всех экспериментальных единиц.</w:t>
      </w:r>
    </w:p>
    <w:p>
      <w:pPr>
        <w:numPr>
          <w:ilvl w:val="0"/>
          <w:numId w:val="1006"/>
        </w:numPr>
      </w:pPr>
      <w:r>
        <w:t xml:space="preserve">Для каждой попарной комбинации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всей контрольной группы строится уравнение линейной регрессии: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0"/>
        </w:numPr>
      </w:pPr>
      <w:r>
        <w:t xml:space="preserve">, где</w:t>
      </w:r>
    </w:p>
    <w:p>
      <w:pPr>
        <w:numPr>
          <w:ilvl w:val="1"/>
          <w:numId w:val="1007"/>
        </w:numPr>
        <w:pStyle w:val="Compact"/>
      </w:pPr>
      <m:oMath>
        <m:r>
          <m:t>i</m:t>
        </m:r>
      </m:oMath>
      <w:r>
        <w:t xml:space="preserve"> </w:t>
      </w:r>
      <w:r>
        <w:t xml:space="preserve">- экспериментальная единица,</w:t>
      </w:r>
    </w:p>
    <w:p>
      <w:pPr>
        <w:numPr>
          <w:ilvl w:val="1"/>
          <w:numId w:val="1007"/>
        </w:numPr>
        <w:pStyle w:val="Compact"/>
      </w:pPr>
      <m:oMath>
        <m:r>
          <m:t>ϵ</m:t>
        </m:r>
      </m:oMath>
      <w:r>
        <w:t xml:space="preserve"> </w:t>
      </w:r>
      <w:r>
        <w:t xml:space="preserve">- остаток в уравнении линейной регрессии</w:t>
      </w:r>
    </w:p>
    <w:p>
      <w:pPr>
        <w:numPr>
          <w:ilvl w:val="0"/>
          <w:numId w:val="1000"/>
        </w:numPr>
      </w:pPr>
      <w:r>
        <w:t xml:space="preserve">Таким образом, для каждой пары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имеется массив с отклонениями [</w:t>
      </w:r>
      <m:oMath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t> </m:t>
        </m:r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sub>
        </m:sSub>
        <m:r>
          <m:rPr>
            <m:sty m:val="p"/>
          </m:rPr>
          <m:t>,</m:t>
        </m:r>
        <m:r>
          <m:t> </m:t>
        </m:r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sub>
        </m:sSub>
        <m:r>
          <m:rPr>
            <m:sty m:val="p"/>
          </m:rPr>
          <m:t>,</m:t>
        </m:r>
        <m:r>
          <m:t> 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 </m:t>
        </m:r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], 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 экспериментальная единица.</w:t>
      </w:r>
    </w:p>
    <w:p>
      <w:pPr>
        <w:numPr>
          <w:ilvl w:val="0"/>
          <w:numId w:val="1006"/>
        </w:numPr>
      </w:pPr>
      <w:r>
        <w:t xml:space="preserve">Массивы с отклонениями преобразуются в абсолютные Z-значения, |Z-scores|: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ϵ</m:t>
                          </m:r>
                        </m:e>
                      </m:acc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num>
            <m:den>
              <m:r>
                <m:t>σ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den>
          </m:f>
        </m:oMath>
      </m:oMathPara>
    </w:p>
    <w:p>
      <w:pPr>
        <w:numPr>
          <w:ilvl w:val="0"/>
          <w:numId w:val="1000"/>
        </w:numPr>
      </w:pPr>
      <w:r>
        <w:t xml:space="preserve">, где</w:t>
      </w:r>
    </w:p>
    <w:p>
      <w:pPr>
        <w:numPr>
          <w:ilvl w:val="1"/>
          <w:numId w:val="1008"/>
        </w:numPr>
        <w:pStyle w:val="Compact"/>
      </w:pPr>
      <m:oMath>
        <m:r>
          <m:t>i</m:t>
        </m:r>
      </m:oMath>
      <w:r>
        <w:t xml:space="preserve"> </w:t>
      </w:r>
      <w:r>
        <w:t xml:space="preserve">- экспериментальная единица,</w:t>
      </w:r>
    </w:p>
    <w:p>
      <w:pPr>
        <w:numPr>
          <w:ilvl w:val="1"/>
          <w:numId w:val="1008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C</m:t>
            </m:r>
            <m:r>
              <m:t>T</m:t>
            </m:r>
            <m:r>
              <m:t>R</m:t>
            </m:r>
            <m:r>
              <m:t>L</m:t>
            </m:r>
          </m:sub>
        </m:sSub>
      </m:oMath>
      <w:r>
        <w:t xml:space="preserve"> </w:t>
      </w:r>
      <w:r>
        <w:t xml:space="preserve">- среднее отклонений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i</m:t>
            </m:r>
          </m:sub>
        </m:sSub>
      </m:oMath>
      <w:r>
        <w:t xml:space="preserve"> </w:t>
      </w:r>
      <w:r>
        <w:t xml:space="preserve">из уравнения линейной регрессии для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по контрольной группе,</w:t>
      </w:r>
    </w:p>
    <w:p>
      <w:pPr>
        <w:numPr>
          <w:ilvl w:val="1"/>
          <w:numId w:val="1008"/>
        </w:numPr>
        <w:pStyle w:val="Compact"/>
      </w:pPr>
      <m:oMath>
        <m:r>
          <m:t>σ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ϵ</m:t>
                </m:r>
              </m:e>
              <m:sub>
                <m:r>
                  <m:t>C</m:t>
                </m:r>
                <m:r>
                  <m:t>T</m:t>
                </m:r>
                <m:r>
                  <m:t>R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- стандартное отклонение значений отклонений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i</m:t>
            </m:r>
          </m:sub>
        </m:sSub>
      </m:oMath>
      <w:r>
        <w:t xml:space="preserve"> </w:t>
      </w:r>
      <w:r>
        <w:t xml:space="preserve">по контрольной группе.</w:t>
      </w:r>
    </w:p>
    <w:p>
      <w:pPr>
        <w:numPr>
          <w:ilvl w:val="0"/>
          <w:numId w:val="1006"/>
        </w:numPr>
      </w:pPr>
      <w:r>
        <w:t xml:space="preserve">Полученные абсолютные Z-scores и становятся весами ребра между узлами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).</w:t>
      </w:r>
    </w:p>
    <w:p>
      <w:pPr>
        <w:numPr>
          <w:ilvl w:val="0"/>
          <w:numId w:val="1006"/>
        </w:numPr>
      </w:pPr>
      <w:r>
        <w:t xml:space="preserve">После получения весов для каждой пары узлов по каждой экспериментальной единице строится взвешенный граф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 </w:t>
      </w:r>
      <w:r>
        <w:t xml:space="preserve">, где V - множество узлов графа, соответствующих характеристикам экспериментальной единицы, E - множество ребер графа, соответствующих полученным абсолютным Z-scores.</w:t>
      </w:r>
    </w:p>
    <w:p>
      <w:pPr>
        <w:numPr>
          <w:ilvl w:val="0"/>
          <w:numId w:val="1000"/>
        </w:numPr>
      </w:pPr>
      <w:r>
        <w:drawing>
          <wp:inline>
            <wp:extent cx="4734084" cy="3571970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./images/1-weighted-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84" cy="357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1.</w:t>
      </w:r>
      <w:r>
        <w:t xml:space="preserve"> </w:t>
      </w:r>
      <w:r>
        <w:t xml:space="preserve">Пример взвешенного графа гипотетической экспериментальной единицы паренклитической сети. Толщина ребер соответствует величине веса абсолютного Z-значения между характеристиками A, B и C.</w:t>
      </w:r>
    </w:p>
    <w:p>
      <w:pPr>
        <w:numPr>
          <w:ilvl w:val="1"/>
          <w:numId w:val="1009"/>
        </w:numPr>
        <w:pStyle w:val="Compact"/>
      </w:pPr>
      <w:r>
        <w:t xml:space="preserve">итогом является изменение представления структуры данных по каждой экспериментальной единицы, которая теперь предстает перед нами в виде сети характеристик, ассоциированных между собой.</w:t>
      </w:r>
    </w:p>
    <w:p>
      <w:pPr>
        <w:numPr>
          <w:ilvl w:val="0"/>
          <w:numId w:val="1006"/>
        </w:numPr>
      </w:pPr>
      <w:r>
        <w:t xml:space="preserve">Для полученного взвешенного графа могут быть рассчитаны ряд его характеристик, среди которых рекомендованными являются:</w:t>
      </w:r>
    </w:p>
    <w:p>
      <w:pPr>
        <w:numPr>
          <w:ilvl w:val="1"/>
          <w:numId w:val="1010"/>
        </w:numPr>
        <w:pStyle w:val="Compact"/>
      </w:pPr>
      <w:r>
        <w:t xml:space="preserve">описательные статистики (количество нулей, минимум, максимум, среднее, стандартное отклонение и любые другие) для таких показателей графа, как closeness, betweenness, edge betweenness, page rank, eigen centrality, authority score, node degree, edge weights;</w:t>
      </w:r>
    </w:p>
    <w:p>
      <w:pPr>
        <w:numPr>
          <w:ilvl w:val="1"/>
          <w:numId w:val="1010"/>
        </w:numPr>
        <w:pStyle w:val="Compact"/>
      </w:pPr>
      <w:r>
        <w:t xml:space="preserve">the vector of all nodes degrees in a graph.</w:t>
      </w:r>
    </w:p>
    <w:p>
      <w:pPr>
        <w:numPr>
          <w:ilvl w:val="0"/>
          <w:numId w:val="1006"/>
        </w:numPr>
      </w:pPr>
      <w:r>
        <w:t xml:space="preserve">Таким образом, осуществляется изменение и представления, и размерности уже сетевой структуры, и мы вновь имеем дело уже с табличными рядами данных, характеризующих экспериментальную единицу.</w:t>
      </w:r>
    </w:p>
    <w:p>
      <w:pPr>
        <w:numPr>
          <w:ilvl w:val="0"/>
          <w:numId w:val="1006"/>
        </w:numPr>
      </w:pPr>
      <w:r>
        <w:t xml:space="preserve">Все предшествующие манипуляции проводились для контрольной группы, куда входили некие</w:t>
      </w:r>
      <w:r>
        <w:t xml:space="preserve"> </w:t>
      </w:r>
      <w:r>
        <w:t xml:space="preserve">“</w:t>
      </w:r>
      <w:r>
        <w:t xml:space="preserve">здоровые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нормальные</w:t>
      </w:r>
      <w:r>
        <w:t xml:space="preserve">”</w:t>
      </w:r>
      <w:r>
        <w:t xml:space="preserve"> </w:t>
      </w:r>
      <w:r>
        <w:t xml:space="preserve">единицы. При появлении некоей новой экспериментальной единицы или нескольких экспериментальных единиц проводимые манипуляции следующие. Для каждой новой экспериментальной единицы для каждой пары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строится уравнение линейной регрессии, но используются коэффициенты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которые были получены для контрольной группы. После этого оценивается величина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</m:oMath>
      <w:r>
        <w:t xml:space="preserve">, где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- новая экспериментальная единица.</w:t>
      </w:r>
    </w:p>
    <w:p>
      <w:pPr>
        <w:numPr>
          <w:ilvl w:val="0"/>
          <w:numId w:val="1006"/>
        </w:numPr>
      </w:pPr>
      <w:r>
        <w:t xml:space="preserve">Полученные массивы отклонений для новых экспериментальных единиц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j</m:t>
            </m:r>
          </m:sub>
        </m:sSub>
      </m:oMath>
      <w:r>
        <w:t xml:space="preserve"> </w:t>
      </w:r>
      <w:r>
        <w:t xml:space="preserve">нормализуются относительно среднего и стандартного отклонения для контрольной группы: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ϵ</m:t>
                          </m:r>
                        </m:e>
                      </m:acc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num>
            <m:den>
              <m:r>
                <m:t>σ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den>
          </m:f>
        </m:oMath>
      </m:oMathPara>
    </w:p>
    <w:p>
      <w:pPr>
        <w:numPr>
          <w:ilvl w:val="0"/>
          <w:numId w:val="1000"/>
        </w:numPr>
      </w:pPr>
      <w:r>
        <w:t xml:space="preserve">, где</w:t>
      </w:r>
    </w:p>
    <w:p>
      <w:pPr>
        <w:numPr>
          <w:ilvl w:val="1"/>
          <w:numId w:val="1011"/>
        </w:numPr>
        <w:pStyle w:val="Compact"/>
      </w:pPr>
      <m:oMath>
        <m:r>
          <m:t>j</m:t>
        </m:r>
      </m:oMath>
      <w:r>
        <w:t xml:space="preserve"> </w:t>
      </w:r>
      <w:r>
        <w:t xml:space="preserve">- новая экспериментальная единица,</w:t>
      </w:r>
    </w:p>
    <w:p>
      <w:pPr>
        <w:numPr>
          <w:ilvl w:val="1"/>
          <w:numId w:val="1011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C</m:t>
            </m:r>
            <m:r>
              <m:t>T</m:t>
            </m:r>
            <m:r>
              <m:t>R</m:t>
            </m:r>
            <m:r>
              <m:t>L</m:t>
            </m:r>
          </m:sub>
        </m:sSub>
      </m:oMath>
      <w:r>
        <w:t xml:space="preserve"> </w:t>
      </w:r>
      <w:r>
        <w:t xml:space="preserve">- среднее отклонений для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по контрольной группе,</w:t>
      </w:r>
    </w:p>
    <w:p>
      <w:pPr>
        <w:numPr>
          <w:ilvl w:val="1"/>
          <w:numId w:val="1011"/>
        </w:numPr>
        <w:pStyle w:val="Compact"/>
      </w:pPr>
      <m:oMath>
        <m:r>
          <m:t>σ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ϵ</m:t>
                </m:r>
              </m:e>
              <m:sub>
                <m:r>
                  <m:t>C</m:t>
                </m:r>
                <m:r>
                  <m:t>T</m:t>
                </m:r>
                <m:r>
                  <m:t>R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- стандартное отклонение значений отклонений по контрольной группе.</w:t>
      </w:r>
    </w:p>
    <w:p>
      <w:pPr>
        <w:numPr>
          <w:ilvl w:val="0"/>
          <w:numId w:val="1000"/>
        </w:numPr>
      </w:pPr>
      <w:r>
        <w:t xml:space="preserve">В результате, получены абсолютные Z-scores для новых единиц.</w:t>
      </w:r>
    </w:p>
    <w:p>
      <w:pPr>
        <w:numPr>
          <w:ilvl w:val="0"/>
          <w:numId w:val="1006"/>
        </w:numPr>
      </w:pPr>
      <w:r>
        <w:t xml:space="preserve">Впоследствии для новых единиц проводятся манипуляции 5. - 7. для создания графов и вычисления их характеристик.</w:t>
      </w:r>
    </w:p>
    <w:bookmarkEnd w:id="26"/>
    <w:bookmarkStart w:id="27" w:name="взвешенные-паренклитические-сети-wkdepa"/>
    <w:p>
      <w:pPr>
        <w:pStyle w:val="Heading3"/>
      </w:pPr>
      <w:r>
        <w:t xml:space="preserve">Взвешенные паренклитические сети (wKDEPA)</w:t>
      </w:r>
    </w:p>
    <w:p>
      <w:pPr>
        <w:numPr>
          <w:ilvl w:val="0"/>
          <w:numId w:val="1012"/>
        </w:numPr>
      </w:pPr>
      <w:r>
        <w:t xml:space="preserve">Снова выделяются экспериментальные единицы, которые являются контрольной группой или группой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единиц. Также выделяются попарные комбинации характеристик, однако уже с целью построения two dimensional kernel density estimation.</w:t>
      </w:r>
    </w:p>
    <w:p>
      <w:pPr>
        <w:numPr>
          <w:ilvl w:val="0"/>
          <w:numId w:val="1012"/>
        </w:numPr>
      </w:pPr>
      <w:r>
        <w:t xml:space="preserve">Для каждой комбинации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создается квадратная two dimensional kernel density matrix, получившая название контурной матрицы.</w:t>
      </w:r>
      <w:r>
        <w:t xml:space="preserve"> </w:t>
      </w:r>
      <w:r>
        <w:rPr>
          <w:iCs/>
          <w:i/>
        </w:rPr>
        <w:t xml:space="preserve">Количество строк и столбцов матрицы минимально определяется длиной векторов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</w:t>
      </w:r>
      <w:r>
        <w:rPr>
          <w:iCs/>
          <w:i/>
        </w:rPr>
        <w:t xml:space="preserve"> </w:t>
      </w:r>
      <m:oMath>
        <m:r>
          <m:t>y</m:t>
        </m:r>
      </m:oMath>
      <w:r>
        <w:rPr>
          <w:iCs/>
          <w:i/>
        </w:rPr>
        <w:t xml:space="preserve">, при этом может быть увеличено. (Почему?)</w:t>
      </w:r>
      <w:r>
        <w:t xml:space="preserve">. В зависимости от параметров функции (например, с помощью функции</w:t>
      </w:r>
      <w:r>
        <w:t xml:space="preserve"> </w:t>
      </w:r>
      <w:r>
        <w:rPr>
          <w:rStyle w:val="VerbatimChar"/>
        </w:rPr>
        <w:t xml:space="preserve">kde2d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или в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с помощью функций</w:t>
      </w:r>
      <w:r>
        <w:t xml:space="preserve"> </w:t>
      </w:r>
      <w:r>
        <w:rPr>
          <w:rStyle w:val="VerbatimChar"/>
        </w:rPr>
        <w:t xml:space="preserve">mgrid</w:t>
      </w:r>
      <w:r>
        <w:t xml:space="preserve"> </w:t>
      </w:r>
      <w:r>
        <w:t xml:space="preserve">из модуля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 а затем с расчетом контурной матрицы с помощью функции</w:t>
      </w:r>
      <w:r>
        <w:t xml:space="preserve"> </w:t>
      </w:r>
      <w:r>
        <w:rPr>
          <w:rStyle w:val="VerbatimChar"/>
        </w:rPr>
        <w:t xml:space="preserve">stats.gaussian_kde</w:t>
      </w:r>
      <w:r>
        <w:t xml:space="preserve"> </w:t>
      </w:r>
      <w:r>
        <w:t xml:space="preserve">модуля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), создающей контурную матрицу, количество рядом и столбцов такой матрицы может варьировать.</w:t>
      </w:r>
    </w:p>
    <w:p>
      <w:pPr>
        <w:numPr>
          <w:ilvl w:val="0"/>
          <w:numId w:val="1012"/>
        </w:numPr>
      </w:pPr>
      <w:r>
        <w:t xml:space="preserve">Так как полученная матрица имеет …</w:t>
      </w:r>
    </w:p>
    <w:bookmarkEnd w:id="27"/>
    <w:bookmarkStart w:id="29" w:name="синолитические-сети-wsa"/>
    <w:p>
      <w:pPr>
        <w:pStyle w:val="Heading3"/>
      </w:pPr>
      <w:r>
        <w:t xml:space="preserve">Синолитические сети (wSA)</w:t>
      </w:r>
    </w:p>
    <w:p>
      <w:pPr>
        <w:pStyle w:val="FirstParagraph"/>
      </w:pPr>
      <w:r>
        <w:t xml:space="preserve">В основе синолитического подхода лежит выстраивание границы между классами с помощью того или иного классификатора. В качестве примера в литературе был рассмотрен метод опорных векторов (SVM) with the radial basis function kernel, а также логистическая регрессия</w:t>
      </w:r>
      <w:r>
        <w:t xml:space="preserve"> </w:t>
      </w:r>
      <w:r>
        <w:t xml:space="preserve">[2]</w:t>
      </w:r>
      <w:r>
        <w:t xml:space="preserve">. Однако может быть использован любой подходящий классификатор.</w:t>
      </w:r>
    </w:p>
    <w:p>
      <w:pPr>
        <w:pStyle w:val="BodyText"/>
      </w:pPr>
      <w:r>
        <w:t xml:space="preserve">Последовательность манипуляций при использовании синолитического подхода следующая:</w:t>
      </w:r>
    </w:p>
    <w:p>
      <w:pPr>
        <w:numPr>
          <w:ilvl w:val="0"/>
          <w:numId w:val="1013"/>
        </w:numPr>
      </w:pPr>
      <w:r>
        <w:t xml:space="preserve">Используются экспериментальные единицы, относящиеся к классам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аномальных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здоровых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больных</w:t>
      </w:r>
      <w:r>
        <w:t xml:space="preserve">”</w:t>
      </w:r>
      <w:r>
        <w:t xml:space="preserve">), а не только контрольная группа целиком из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экспериментальных единиц.</w:t>
      </w:r>
    </w:p>
    <w:p>
      <w:pPr>
        <w:numPr>
          <w:ilvl w:val="0"/>
          <w:numId w:val="1013"/>
        </w:numPr>
      </w:pPr>
      <w:r>
        <w:t xml:space="preserve">Вновь определяются попарные комбинации характеристик. В качестве примера классификатора используем SVM with the radial basis function kernel, однако возможно использовать любой классификтор.</w:t>
      </w:r>
    </w:p>
    <w:p>
      <w:pPr>
        <w:numPr>
          <w:ilvl w:val="0"/>
          <w:numId w:val="1013"/>
        </w:numPr>
      </w:pPr>
      <w:r>
        <w:t xml:space="preserve">Для каждой комбинации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с помощью классификатора определяется граница, разделяющая классы. Иными словами, для каждой комбинации создается отдельный классификатор, в попытке провести границу между классами. Визуально разделение может быть представлено следующим образом.</w:t>
      </w:r>
    </w:p>
    <w:p>
      <w:pPr>
        <w:pStyle w:val="FirstParagraph"/>
      </w:pPr>
      <w:r>
        <w:drawing>
          <wp:inline>
            <wp:extent cx="5174464" cy="3960361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./images/2-rbf-bound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64" cy="396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2.</w:t>
      </w:r>
      <w:r>
        <w:t xml:space="preserve"> </w:t>
      </w:r>
      <w:r>
        <w:t xml:space="preserve">Разделение двух классов (красные и синие) с помощью radial SVM. В связи с тем, что при синолитическом подходе используются единицы разных классов.</w:t>
      </w:r>
    </w:p>
    <w:p>
      <w:pPr>
        <w:numPr>
          <w:ilvl w:val="0"/>
          <w:numId w:val="1014"/>
        </w:numPr>
      </w:pPr>
      <w:r>
        <w:t xml:space="preserve">С помощью классификатора определяется вероятность принадлежности каждой точки на плоскости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к тому или иному классу. Т.к. каждая точка обозначает отдельную экспериментальную единицу, полученные вероятности и становятся весами ребер между узлами, отражающими характеристики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). Таким образом, каждая экспериментальная единица получает вес ребра между узлами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).</w:t>
      </w:r>
    </w:p>
    <w:p>
      <w:pPr>
        <w:numPr>
          <w:ilvl w:val="0"/>
          <w:numId w:val="1014"/>
        </w:numPr>
      </w:pPr>
      <w:r>
        <w:t xml:space="preserve">В результате, все экспериментальные единицы меняют свое представление на взвешенные графы.</w:t>
      </w:r>
    </w:p>
    <w:bookmarkEnd w:id="29"/>
    <w:bookmarkStart w:id="30" w:name="корреляционные-графы"/>
    <w:p>
      <w:pPr>
        <w:pStyle w:val="Heading3"/>
      </w:pPr>
      <w:r>
        <w:t xml:space="preserve">Корреляционные графы</w:t>
      </w:r>
    </w:p>
    <w:p>
      <w:pPr>
        <w:pStyle w:val="FirstParagraph"/>
      </w:pPr>
      <w:r>
        <w:t xml:space="preserve">Корреляционные графы наиболее часто используются при возможности получить несколько последовательных измерений одних и тех же характеристик у одной и той же экспериментальной единицы. Если у нас есть множество таких экспериментальных единиц, у нас должна быть возможность проводить одно ито же количество таких последовательных измерений, а характеристики должны быть идентичными.</w:t>
      </w:r>
    </w:p>
    <w:p>
      <w:pPr>
        <w:pStyle w:val="BodyText"/>
      </w:pPr>
      <w:r>
        <w:t xml:space="preserve">В основе такой концепции лежит гипотеза Александра Горбаня</w:t>
      </w:r>
      <w:r>
        <w:t xml:space="preserve"> </w:t>
      </w:r>
      <w:r>
        <w:t xml:space="preserve">[5]</w:t>
      </w:r>
      <w:r>
        <w:t xml:space="preserve">, согласно которой в некоей системе с множеством характеристик при условии стабильности имеются некие базисные корреляции и оказатели дисперсии между характеристиками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При условии возникновения некоего</w:t>
      </w:r>
      <w:r>
        <w:t xml:space="preserve"> </w:t>
      </w:r>
      <w:r>
        <w:t xml:space="preserve">“</w:t>
      </w:r>
      <w:r>
        <w:t xml:space="preserve">стресса</w:t>
      </w:r>
      <w:r>
        <w:t xml:space="preserve">”</w:t>
      </w:r>
      <w:r>
        <w:t xml:space="preserve"> </w:t>
      </w:r>
      <w:r>
        <w:t xml:space="preserve">в системе возрастает скоррелированность характеристик, а также дисперсия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↑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  <m:r>
              <m:rPr>
                <m:sty m:val="p"/>
              </m:rPr>
              <m:t>↑</m:t>
            </m:r>
          </m:e>
        </m:d>
      </m:oMath>
      <w:r>
        <w:t xml:space="preserve">.</w:t>
      </w:r>
    </w:p>
    <w:p>
      <w:pPr>
        <w:pStyle w:val="BodyText"/>
      </w:pPr>
      <w:r>
        <w:t xml:space="preserve">В дальнейшем, система либо снова возвращается к стабильности (при этом мы будем наблюдать возвращение показателей корреляции и дисперсии до базисных значений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↓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  <m:r>
              <m:rPr>
                <m:sty m:val="p"/>
              </m:rPr>
              <m:t>↓</m:t>
            </m:r>
          </m:e>
        </m:d>
      </m:oMath>
      <w:r>
        <w:t xml:space="preserve">, либо наступит этап дезадаптации (или кризиса), при котором корреляции значительно снижаются (в том числе ниже уровня базисных), а дисперсия остается большой или возрастает еще больше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↓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  <m:r>
              <m:rPr>
                <m:sty m:val="p"/>
              </m:rPr>
              <m:t>↑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Общая инструкция для построения корреляционного графа следующая.</w:t>
      </w:r>
    </w:p>
    <w:p>
      <w:pPr>
        <w:numPr>
          <w:ilvl w:val="0"/>
          <w:numId w:val="1015"/>
        </w:numPr>
      </w:pPr>
      <w:r>
        <w:t xml:space="preserve">Определяем характеристики экспериментальной единицы, между которыми мы будем попарно определять корреляции, например,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</m:oMath>
      <w:r>
        <w:t xml:space="preserve">. По каждой из этих характеристик мы имеем набор значений во времени, временные точки должны совпадать.</w:t>
      </w:r>
    </w:p>
    <w:p>
      <w:pPr>
        <w:numPr>
          <w:ilvl w:val="0"/>
          <w:numId w:val="1015"/>
        </w:numPr>
      </w:pPr>
      <w:r>
        <w:t xml:space="preserve">Исследователи выбирают начальное временное</w:t>
      </w:r>
      <w:r>
        <w:t xml:space="preserve"> </w:t>
      </w:r>
      <w:r>
        <w:t xml:space="preserve">“</w:t>
      </w:r>
      <w:r>
        <w:t xml:space="preserve">окно,</w:t>
      </w:r>
      <w:r>
        <w:t xml:space="preserve">”</w:t>
      </w:r>
      <w:r>
        <w:t xml:space="preserve"> </w:t>
      </w:r>
      <w:r>
        <w:t xml:space="preserve">например, измерения по характеристикам на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некий эмпирический размер этого окна. Предположим, величина окна выбрана в 20 временных точек. Тогда мы получаем 19 предшествующих временных точек по каждой характеристике и измерения на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(т.е., всего 20 измерений). Соответственно, для характеристик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</m:oMath>
      <w:r>
        <w:t xml:space="preserve"> </w:t>
      </w:r>
      <w:r>
        <w:t xml:space="preserve">мы получаем по 20 временных значений с учетом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для каждой экспериментальной единицы.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Временная точка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</w:tr>
    </w:tbl>
    <w:p>
      <w:pPr>
        <w:numPr>
          <w:ilvl w:val="0"/>
          <w:numId w:val="1016"/>
        </w:numPr>
      </w:pPr>
      <w:r>
        <w:t xml:space="preserve">Названия характеристик становятся узлами графа. Между каждыми 2-мя характеристиками определяется корреляция и величина коэффициента корреляции становится атрибутом ребра между узлами.</w:t>
      </w:r>
    </w:p>
    <w:p>
      <w:pPr>
        <w:numPr>
          <w:ilvl w:val="0"/>
          <w:numId w:val="1016"/>
        </w:numPr>
      </w:pPr>
      <w:r>
        <w:t xml:space="preserve">Метод оценки корреляции напрямую связан с типами подлежащих распределений характеристик. В целом, для создания корреляционных графов могут быть использованы метод по Пирсону, по Спирману, Cramer’s V, Tau и другие. отдельно стоит уделить внимание значимости корреляционной связи. При отсутствии значимой корреляции логичным представляется не строить ребро между соответствующими узлами, в то время как наличие значимой корреляции позволяет построить ребро и присвоить ему вес в виде корреляционного коэффициента.</w:t>
      </w:r>
    </w:p>
    <w:p>
      <w:pPr>
        <w:numPr>
          <w:ilvl w:val="0"/>
          <w:numId w:val="1016"/>
        </w:numPr>
      </w:pPr>
      <w:r>
        <w:t xml:space="preserve">Таким образом, мы получили корреляционный граф на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Следующий этап - построение аналогичного графа для следующего момента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: временное окно из 20 временных точек переезжает на один временный промежуток вперед и повторяется полная последовательность 3. - 5. Создается новый граф для момента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и так далее.</w:t>
      </w:r>
    </w:p>
    <w:bookmarkEnd w:id="30"/>
    <w:bookmarkEnd w:id="31"/>
    <w:bookmarkStart w:id="32" w:name="methods"/>
    <w:p>
      <w:pPr>
        <w:pStyle w:val="Heading2"/>
      </w:pPr>
      <w:r>
        <w:t xml:space="preserve">Methods</w:t>
      </w:r>
    </w:p>
    <w:bookmarkEnd w:id="32"/>
    <w:bookmarkStart w:id="33" w:name="notes"/>
    <w:p>
      <w:pPr>
        <w:pStyle w:val="Heading2"/>
      </w:pPr>
      <w:r>
        <w:t xml:space="preserve">Notes</w:t>
      </w:r>
    </w:p>
    <w:bookmarkEnd w:id="33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5" w:name="ref-Zanin2011Se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Zanin M, Boccaletti S.</w:t>
      </w:r>
      <w:r>
        <w:t xml:space="preserve"> </w:t>
      </w:r>
      <w:r>
        <w:t xml:space="preserve">Complex networks analysis of obstructive nephropathy data</w:t>
      </w:r>
      <w:r>
        <w:t xml:space="preserve">.</w:t>
      </w:r>
      <w:r>
        <w:t xml:space="preserve"> </w:t>
      </w:r>
      <w:r>
        <w:rPr>
          <w:iCs/>
          <w:i/>
        </w:rPr>
        <w:t xml:space="preserve">Chaos: An Interdisciplinary Journal of Nonlinear Science</w:t>
      </w:r>
      <w:r>
        <w:t xml:space="preserve">. 2011;21(3):033103. doi:</w:t>
      </w:r>
      <w:hyperlink r:id="rId34">
        <w:r>
          <w:rPr>
            <w:rStyle w:val="Hyperlink"/>
          </w:rPr>
          <w:t xml:space="preserve">10.1063/1.3608126</w:t>
        </w:r>
      </w:hyperlink>
    </w:p>
    <w:bookmarkEnd w:id="35"/>
    <w:bookmarkStart w:id="37" w:name="ref-Nazarenko2021Oc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Nazarenko T, Whitwell HJ, Blyuss O, Zaikin A.</w:t>
      </w:r>
      <w:r>
        <w:t xml:space="preserve"> </w:t>
      </w:r>
      <w:r>
        <w:t xml:space="preserve">Parenclitic and Synolytic Networks Revisited</w:t>
      </w:r>
      <w:r>
        <w:t xml:space="preserve">.</w:t>
      </w:r>
      <w:r>
        <w:t xml:space="preserve"> </w:t>
      </w:r>
      <w:r>
        <w:rPr>
          <w:iCs/>
          <w:i/>
        </w:rPr>
        <w:t xml:space="preserve">Front Genet</w:t>
      </w:r>
      <w:r>
        <w:t xml:space="preserve">. 2021;12. doi:</w:t>
      </w:r>
      <w:hyperlink r:id="rId36">
        <w:r>
          <w:rPr>
            <w:rStyle w:val="Hyperlink"/>
          </w:rPr>
          <w:t xml:space="preserve">10.3389/fgene.2021.733783</w:t>
        </w:r>
      </w:hyperlink>
    </w:p>
    <w:bookmarkEnd w:id="37"/>
    <w:bookmarkStart w:id="39" w:name="ref-Whitwell2018Ap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Whitwell HJ, Blyuss O, Menon U, Timms JF, Zaikin A.</w:t>
      </w:r>
      <w:r>
        <w:t xml:space="preserve"> </w:t>
      </w:r>
      <w:r>
        <w:t xml:space="preserve">Parenclitic networks for predicting ovarian cancer</w:t>
      </w:r>
      <w:r>
        <w:t xml:space="preserve">.</w:t>
      </w:r>
      <w:r>
        <w:t xml:space="preserve"> </w:t>
      </w:r>
      <w:r>
        <w:rPr>
          <w:iCs/>
          <w:i/>
        </w:rPr>
        <w:t xml:space="preserve">Oncotarget</w:t>
      </w:r>
      <w:r>
        <w:t xml:space="preserve">. 2018;9(32):22717-22726. doi:</w:t>
      </w:r>
      <w:hyperlink r:id="rId38">
        <w:r>
          <w:rPr>
            <w:rStyle w:val="Hyperlink"/>
          </w:rPr>
          <w:t xml:space="preserve">10.18632/oncotarget.25216</w:t>
        </w:r>
      </w:hyperlink>
    </w:p>
    <w:bookmarkEnd w:id="39"/>
    <w:bookmarkStart w:id="41" w:name="ref-Krivonosov2022Ja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Krivonosov M, Nazarenko T, Bacalini MG, et al.</w:t>
      </w:r>
      <w:r>
        <w:t xml:space="preserve"> </w:t>
      </w:r>
      <w:r>
        <w:t xml:space="preserve">Age-related trajectories of DNA methylation network markers: a parenclitic network approach to a family-based cohort of patients with Down Syndrome</w:t>
      </w:r>
      <w:r>
        <w:t xml:space="preserve">.</w:t>
      </w:r>
      <w:r>
        <w:t xml:space="preserve"> </w:t>
      </w:r>
      <w:r>
        <w:rPr>
          <w:iCs/>
          <w:i/>
        </w:rPr>
        <w:t xml:space="preserve">bioRxiv</w:t>
      </w:r>
      <w:r>
        <w:t xml:space="preserve">. Published online January 2022:2020.03.10.986505.</w:t>
      </w:r>
      <w:r>
        <w:t xml:space="preserve"> </w:t>
      </w:r>
      <w:hyperlink r:id="rId40">
        <w:r>
          <w:rPr>
            <w:rStyle w:val="Hyperlink"/>
          </w:rPr>
          <w:t xml:space="preserve">https://doi.org/10.1101/2020.03.10.986505</w:t>
        </w:r>
      </w:hyperlink>
    </w:p>
    <w:bookmarkEnd w:id="41"/>
    <w:bookmarkStart w:id="43" w:name="ref-Gorban2009May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Gorban AN, Smirnova EV, Tyukina TA.</w:t>
      </w:r>
      <w:r>
        <w:t xml:space="preserve"> </w:t>
      </w:r>
      <w:r>
        <w:t xml:space="preserve">Correlations, Risk and Crisis: From Physiology to Finance</w:t>
      </w:r>
      <w:r>
        <w:t xml:space="preserve">.</w:t>
      </w:r>
      <w:r>
        <w:t xml:space="preserve"> </w:t>
      </w:r>
      <w:r>
        <w:rPr>
          <w:iCs/>
          <w:i/>
        </w:rPr>
        <w:t xml:space="preserve">arXiv</w:t>
      </w:r>
      <w:r>
        <w:t xml:space="preserve">. Published online May 2009. doi:</w:t>
      </w:r>
      <w:hyperlink r:id="rId42">
        <w:r>
          <w:rPr>
            <w:rStyle w:val="Hyperlink"/>
          </w:rPr>
          <w:t xml:space="preserve">10.1016/j.physa.2010.03.035</w:t>
        </w:r>
      </w:hyperlink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42" Target="https://doi.org/10.1016/j.physa.2010.03.035" TargetMode="External" /><Relationship Type="http://schemas.openxmlformats.org/officeDocument/2006/relationships/hyperlink" Id="rId34" Target="https://doi.org/10.1063/1.3608126" TargetMode="External" /><Relationship Type="http://schemas.openxmlformats.org/officeDocument/2006/relationships/hyperlink" Id="rId40" Target="https://doi.org/10.1101/2020.03.10.986505" TargetMode="External" /><Relationship Type="http://schemas.openxmlformats.org/officeDocument/2006/relationships/hyperlink" Id="rId38" Target="https://doi.org/10.18632/oncotarget.25216" TargetMode="External" /><Relationship Type="http://schemas.openxmlformats.org/officeDocument/2006/relationships/hyperlink" Id="rId36" Target="https://doi.org/10.3389/fgene.2021.73378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16/j.physa.2010.03.035" TargetMode="External" /><Relationship Type="http://schemas.openxmlformats.org/officeDocument/2006/relationships/hyperlink" Id="rId34" Target="https://doi.org/10.1063/1.3608126" TargetMode="External" /><Relationship Type="http://schemas.openxmlformats.org/officeDocument/2006/relationships/hyperlink" Id="rId40" Target="https://doi.org/10.1101/2020.03.10.986505" TargetMode="External" /><Relationship Type="http://schemas.openxmlformats.org/officeDocument/2006/relationships/hyperlink" Id="rId38" Target="https://doi.org/10.18632/oncotarget.25216" TargetMode="External" /><Relationship Type="http://schemas.openxmlformats.org/officeDocument/2006/relationships/hyperlink" Id="rId36" Target="https://doi.org/10.3389/fgene.2021.7337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and thermodynamic models of adaptation</dc:title>
  <dc:creator/>
  <cp:keywords/>
  <dcterms:created xsi:type="dcterms:W3CDTF">2022-12-19T08:52:56Z</dcterms:created>
  <dcterms:modified xsi:type="dcterms:W3CDTF">2022-12-19T08:52:56Z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jama.csl</vt:lpwstr>
  </property>
  <property fmtid="{D5CDD505-2E9C-101B-9397-08002B2CF9AE}" pid="4" name="output">
    <vt:lpwstr>word_document</vt:lpwstr>
  </property>
</Properties>
</file>