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A20AC1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Research Methods </w:t>
            </w:r>
            <w:r>
              <w:rPr>
                <w:rFonts w:ascii="Cambria" w:hAnsi="Cambria"/>
                <w:bCs/>
                <w:iCs/>
              </w:rPr>
              <w:t>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University of </w:t>
            </w:r>
            <w:proofErr w:type="spellStart"/>
            <w:r>
              <w:rPr>
                <w:rFonts w:ascii="Cambria" w:hAnsi="Cambria"/>
                <w:bCs/>
                <w:iCs/>
              </w:rPr>
              <w:t>Birminham</w:t>
            </w:r>
            <w:proofErr w:type="spellEnd"/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1763ED71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University of </w:t>
            </w:r>
            <w:proofErr w:type="spellStart"/>
            <w:r>
              <w:rPr>
                <w:rFonts w:ascii="Cambria" w:hAnsi="Cambria"/>
                <w:bCs/>
                <w:iCs/>
              </w:rPr>
              <w:t>Birminham</w:t>
            </w:r>
            <w:proofErr w:type="spellEnd"/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0CD73D12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University of </w:t>
            </w:r>
            <w:proofErr w:type="spellStart"/>
            <w:r>
              <w:rPr>
                <w:rFonts w:ascii="Cambria" w:hAnsi="Cambria"/>
                <w:bCs/>
                <w:iCs/>
              </w:rPr>
              <w:t>Birminham</w:t>
            </w:r>
            <w:proofErr w:type="spellEnd"/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0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lastRenderedPageBreak/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bookmarkStart w:id="0" w:name="_GoBack"/>
      <w:bookmarkEnd w:id="0"/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7312B1D9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3824BE">
              <w:rPr>
                <w:rFonts w:ascii="Cambria" w:hAnsi="Cambria" w:cstheme="minorHAnsi"/>
              </w:rPr>
              <w:t>Ruuskanen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V.,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https://doi.org/10.1101/2023.09.12.557327</w:t>
            </w:r>
          </w:p>
        </w:tc>
        <w:tc>
          <w:tcPr>
            <w:tcW w:w="1615" w:type="dxa"/>
          </w:tcPr>
          <w:p w14:paraId="66477F6E" w14:textId="0601374E" w:rsidR="003824BE" w:rsidRDefault="003824BE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in press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7FF397B7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2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3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4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5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6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2C00DF2E" w14:textId="77777777" w:rsidR="003C5959" w:rsidRDefault="003C5959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</w:p>
    <w:p w14:paraId="65F6F8ED" w14:textId="0659543A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2DD181A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05B80" w14:textId="77777777" w:rsidR="00A20AC1" w:rsidRDefault="00A20AC1" w:rsidP="009E1FEB">
      <w:pPr>
        <w:spacing w:after="0" w:line="240" w:lineRule="auto"/>
      </w:pPr>
      <w:r>
        <w:separator/>
      </w:r>
    </w:p>
  </w:endnote>
  <w:endnote w:type="continuationSeparator" w:id="0">
    <w:p w14:paraId="1498589C" w14:textId="77777777" w:rsidR="00A20AC1" w:rsidRDefault="00A20AC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4808C" w14:textId="77777777" w:rsidR="00A20AC1" w:rsidRDefault="00A20AC1" w:rsidP="009E1FEB">
      <w:pPr>
        <w:spacing w:after="0" w:line="240" w:lineRule="auto"/>
      </w:pPr>
      <w:r>
        <w:separator/>
      </w:r>
    </w:p>
  </w:footnote>
  <w:footnote w:type="continuationSeparator" w:id="0">
    <w:p w14:paraId="2BC7E871" w14:textId="77777777" w:rsidR="00A20AC1" w:rsidRDefault="00A20AC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pBQDRhmhc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66C8D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758/s13428-024-02477-2" TargetMode="External"/><Relationship Id="rId18" Type="http://schemas.openxmlformats.org/officeDocument/2006/relationships/hyperlink" Target="https://doi.org/10.1111/psyp.14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31828/tpy1301996120211203m00004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s00394-024-03514-8" TargetMode="External"/><Relationship Id="rId17" Type="http://schemas.openxmlformats.org/officeDocument/2006/relationships/hyperlink" Target="https://doi.org/10.1177/02698811231161579" TargetMode="External"/><Relationship Id="rId25" Type="http://schemas.openxmlformats.org/officeDocument/2006/relationships/hyperlink" Target="https://doi.org/10.3758/s13414-017-1333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ncog.2023.103627" TargetMode="External"/><Relationship Id="rId20" Type="http://schemas.openxmlformats.org/officeDocument/2006/relationships/hyperlink" Target="https://doi.org/10.1007/s00394-021-02767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24" Type="http://schemas.openxmlformats.org/officeDocument/2006/relationships/hyperlink" Target="https://doi.org/10.1007/s00213-018-4861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62/imag_a_00173" TargetMode="External"/><Relationship Id="rId23" Type="http://schemas.openxmlformats.org/officeDocument/2006/relationships/hyperlink" Target="https://doi.org/10.1016/j.actpsy.2019.04.0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101/2022.09.15.508098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6087/kcse.345" TargetMode="External"/><Relationship Id="rId22" Type="http://schemas.openxmlformats.org/officeDocument/2006/relationships/hyperlink" Target="https://doi.org/10.5334/joc.1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B2DE-B8C2-414E-AD11-66632446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29</cp:revision>
  <cp:lastPrinted>2024-12-30T12:28:00Z</cp:lastPrinted>
  <dcterms:created xsi:type="dcterms:W3CDTF">2024-11-08T09:30:00Z</dcterms:created>
  <dcterms:modified xsi:type="dcterms:W3CDTF">2025-02-05T07:10:00Z</dcterms:modified>
</cp:coreProperties>
</file>