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4A38E5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7BF8ADC" w14:textId="2E4F7D77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proofErr w:type="gramStart"/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,</w:t>
      </w:r>
      <w:proofErr w:type="gramEnd"/>
      <w:r w:rsidR="001A6F3F" w:rsidRPr="001A6F3F">
        <w:rPr>
          <w:rFonts w:ascii="Cambria" w:eastAsia="Calibri" w:hAnsi="Cambria" w:cs="Arial"/>
          <w:i/>
          <w:sz w:val="24"/>
          <w:szCs w:val="24"/>
        </w:rPr>
        <w:t xml:space="preserve"> 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21A260BA" w14:textId="478909EF" w:rsidR="00462755" w:rsidRPr="00462755" w:rsidRDefault="00462755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Mathot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</w:t>
      </w:r>
      <w:r w:rsidR="002A625E" w:rsidRPr="007C4D8E">
        <w:rPr>
          <w:rFonts w:ascii="Cambria" w:hAnsi="Cambria" w:cs="Arial"/>
          <w:sz w:val="24"/>
          <w:szCs w:val="24"/>
        </w:rPr>
        <w:t>2022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>.</w:t>
      </w:r>
      <w:r w:rsidR="002A427B">
        <w:rPr>
          <w:rFonts w:ascii="Cambria" w:hAnsi="Cambria" w:cs="Arial"/>
          <w:sz w:val="24"/>
          <w:szCs w:val="24"/>
        </w:rPr>
        <w:t xml:space="preserve"> </w:t>
      </w:r>
      <w:r w:rsidR="002A427B" w:rsidRPr="002A427B">
        <w:rPr>
          <w:rFonts w:ascii="Cambria" w:hAnsi="Cambria" w:cs="Arial"/>
          <w:sz w:val="24"/>
          <w:szCs w:val="24"/>
        </w:rPr>
        <w:t>doi:10.1111/psyp.14155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lastRenderedPageBreak/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doi: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0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0"/>
      <w:r w:rsidRPr="003F3C92">
        <w:rPr>
          <w:rFonts w:ascii="Cambria" w:eastAsia="Calibri" w:hAnsi="Cambria" w:cs="Arial"/>
          <w:sz w:val="24"/>
          <w:szCs w:val="24"/>
        </w:rPr>
        <w:t xml:space="preserve">Oral Session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lastRenderedPageBreak/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610981F8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bookmarkStart w:id="1" w:name="_GoBack"/>
      <w:bookmarkEnd w:id="1"/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1EA5" w14:textId="77777777" w:rsidR="004A38E5" w:rsidRDefault="004A38E5" w:rsidP="009E1FEB">
      <w:pPr>
        <w:spacing w:after="0" w:line="240" w:lineRule="auto"/>
      </w:pPr>
      <w:r>
        <w:separator/>
      </w:r>
    </w:p>
  </w:endnote>
  <w:endnote w:type="continuationSeparator" w:id="0">
    <w:p w14:paraId="23B579F4" w14:textId="77777777" w:rsidR="004A38E5" w:rsidRDefault="004A38E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808D" w14:textId="77777777" w:rsidR="004A38E5" w:rsidRDefault="004A38E5" w:rsidP="009E1FEB">
      <w:pPr>
        <w:spacing w:after="0" w:line="240" w:lineRule="auto"/>
      </w:pPr>
      <w:r>
        <w:separator/>
      </w:r>
    </w:p>
  </w:footnote>
  <w:footnote w:type="continuationSeparator" w:id="0">
    <w:p w14:paraId="455ADB2E" w14:textId="77777777" w:rsidR="004A38E5" w:rsidRDefault="004A38E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sFALk5F4stAAAA"/>
  </w:docVars>
  <w:rsids>
    <w:rsidRoot w:val="00E32A7D"/>
    <w:rsid w:val="000100FB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0AC2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62FD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0F2B"/>
    <w:rsid w:val="006C5E85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32A3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222</cp:revision>
  <cp:lastPrinted>2022-08-29T08:20:00Z</cp:lastPrinted>
  <dcterms:created xsi:type="dcterms:W3CDTF">2019-03-22T09:18:00Z</dcterms:created>
  <dcterms:modified xsi:type="dcterms:W3CDTF">2022-08-29T08:23:00Z</dcterms:modified>
</cp:coreProperties>
</file>