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A21D00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In .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Wolff, M. J., </w:t>
      </w:r>
      <w:proofErr w:type="spellStart"/>
      <w:r w:rsidRPr="003F3C92">
        <w:rPr>
          <w:rFonts w:ascii="Cambria" w:eastAsia="Calibri" w:hAnsi="Cambria" w:cs="Arial"/>
          <w:sz w:val="24"/>
          <w:szCs w:val="24"/>
          <w:lang w:val="nl-NL"/>
        </w:rPr>
        <w:t>Ruuskanen</w:t>
      </w:r>
      <w:proofErr w:type="spellEnd"/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, V., &amp; </w:t>
      </w:r>
      <w:proofErr w:type="spellStart"/>
      <w:r w:rsidRPr="003F3C92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May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bookmarkStart w:id="0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</w:t>
      </w:r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0"/>
      <w:r w:rsidRPr="003F3C92">
        <w:rPr>
          <w:rFonts w:ascii="Cambria" w:eastAsia="Calibri" w:hAnsi="Cambria" w:cs="Arial"/>
          <w:sz w:val="24"/>
          <w:szCs w:val="24"/>
        </w:rPr>
        <w:t>Oral</w:t>
      </w:r>
      <w:r w:rsidRPr="003F3C92">
        <w:rPr>
          <w:rFonts w:ascii="Cambria" w:eastAsia="Calibri" w:hAnsi="Cambria" w:cs="Arial"/>
          <w:sz w:val="24"/>
          <w:szCs w:val="24"/>
        </w:rPr>
        <w:t xml:space="preserve"> Session presented at the</w:t>
      </w:r>
      <w:r w:rsidRPr="003F3C92">
        <w:rPr>
          <w:rFonts w:ascii="Cambria" w:eastAsia="Calibri" w:hAnsi="Cambria" w:cs="Arial"/>
          <w:sz w:val="24"/>
          <w:szCs w:val="24"/>
        </w:rPr>
        <w:t xml:space="preserve">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 xml:space="preserve">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of 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 xml:space="preserve">Cognitive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 xml:space="preserve">in </w:t>
      </w:r>
      <w:r w:rsidRPr="003F3C92">
        <w:rPr>
          <w:rFonts w:ascii="Cambria" w:eastAsia="Calibri" w:hAnsi="Cambria" w:cs="Arial"/>
          <w:sz w:val="24"/>
          <w:szCs w:val="24"/>
        </w:rPr>
        <w:t>Helsinki</w:t>
      </w:r>
      <w:r w:rsidRPr="003F3C92">
        <w:rPr>
          <w:rFonts w:ascii="Cambria" w:eastAsia="Calibri" w:hAnsi="Cambria" w:cs="Arial"/>
          <w:sz w:val="24"/>
          <w:szCs w:val="24"/>
        </w:rPr>
        <w:t xml:space="preserve">, </w:t>
      </w:r>
      <w:r w:rsidRPr="003F3C92">
        <w:rPr>
          <w:rFonts w:ascii="Cambria" w:eastAsia="Calibri" w:hAnsi="Cambria" w:cs="Arial"/>
          <w:sz w:val="24"/>
          <w:szCs w:val="24"/>
        </w:rPr>
        <w:t>Finland</w:t>
      </w:r>
      <w:r w:rsidRPr="003F3C92">
        <w:rPr>
          <w:rFonts w:ascii="Cambria" w:eastAsia="Calibri" w:hAnsi="Cambria" w:cs="Arial"/>
          <w:sz w:val="24"/>
          <w:szCs w:val="24"/>
        </w:rPr>
        <w:t>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Wang, J., Wilhelm, S., Martens, S., &amp; </w:t>
      </w:r>
      <w:proofErr w:type="spellStart"/>
      <w:r w:rsidR="006E46B3" w:rsidRPr="001F4CC9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</w:t>
      </w:r>
      <w:r w:rsidR="00050D00" w:rsidRPr="003F3C92">
        <w:rPr>
          <w:rFonts w:ascii="Cambria" w:eastAsia="Calibri" w:hAnsi="Cambria" w:cs="Arial"/>
          <w:sz w:val="24"/>
          <w:szCs w:val="24"/>
        </w:rPr>
        <w:t xml:space="preserve"> </w:t>
      </w:r>
      <w:r w:rsidR="00050D00" w:rsidRPr="003F3C92">
        <w:rPr>
          <w:rFonts w:ascii="Cambria" w:eastAsia="Calibri" w:hAnsi="Cambria" w:cs="Arial"/>
          <w:sz w:val="24"/>
          <w:szCs w:val="24"/>
        </w:rPr>
        <w:t>presentation</w:t>
      </w:r>
      <w:r w:rsidR="00050D00" w:rsidRPr="003F3C92">
        <w:rPr>
          <w:rFonts w:ascii="Cambria" w:eastAsia="Calibri" w:hAnsi="Cambria" w:cs="Arial"/>
          <w:sz w:val="24"/>
          <w:szCs w:val="24"/>
        </w:rPr>
        <w:t>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of  Cognitive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lastRenderedPageBreak/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Pr="00280F83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23779DC4" w:rsidR="00773CF1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EEC2C03" w14:textId="056157B2" w:rsidR="003F3C92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026DEAA9" w14:textId="77777777" w:rsidR="003F3C92" w:rsidRPr="00EC3ADA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  <w:bookmarkStart w:id="1" w:name="_GoBack"/>
      <w:bookmarkEnd w:id="1"/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8FDC88E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I organized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3DB1" w14:textId="77777777" w:rsidR="00A21D00" w:rsidRDefault="00A21D00" w:rsidP="009E1FEB">
      <w:pPr>
        <w:spacing w:after="0" w:line="240" w:lineRule="auto"/>
      </w:pPr>
      <w:r>
        <w:separator/>
      </w:r>
    </w:p>
  </w:endnote>
  <w:endnote w:type="continuationSeparator" w:id="0">
    <w:p w14:paraId="142E3296" w14:textId="77777777" w:rsidR="00A21D00" w:rsidRDefault="00A21D0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8E8F" w14:textId="77777777" w:rsidR="00A21D00" w:rsidRDefault="00A21D00" w:rsidP="009E1FEB">
      <w:pPr>
        <w:spacing w:after="0" w:line="240" w:lineRule="auto"/>
      </w:pPr>
      <w:r>
        <w:separator/>
      </w:r>
    </w:p>
  </w:footnote>
  <w:footnote w:type="continuationSeparator" w:id="0">
    <w:p w14:paraId="1D7A0C16" w14:textId="77777777" w:rsidR="00A21D00" w:rsidRDefault="00A21D0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oFAL38e+8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1F4CC9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B320A"/>
    <w:rsid w:val="002C268A"/>
    <w:rsid w:val="002D0C7B"/>
    <w:rsid w:val="002D1F90"/>
    <w:rsid w:val="002D3DF3"/>
    <w:rsid w:val="002E5D74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42FB3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1700</Words>
  <Characters>9351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184</cp:revision>
  <cp:lastPrinted>2021-10-13T09:56:00Z</cp:lastPrinted>
  <dcterms:created xsi:type="dcterms:W3CDTF">2019-03-22T09:18:00Z</dcterms:created>
  <dcterms:modified xsi:type="dcterms:W3CDTF">2022-06-01T11:16:00Z</dcterms:modified>
</cp:coreProperties>
</file>