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52A4465E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05362CE7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3114o72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5539C7B2" w14:textId="1A6F450B" w:rsidR="001346AA" w:rsidRDefault="000A21DB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7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30390C39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UAE, 2022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</w:t>
      </w:r>
      <w:r w:rsidR="005F5137">
        <w:rPr>
          <w:rFonts w:ascii="Cambria" w:hAnsi="Cambria"/>
          <w:bCs/>
          <w:sz w:val="24"/>
          <w:szCs w:val="24"/>
        </w:rPr>
        <w:t>5</w:t>
      </w:r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Daryl </w:t>
      </w:r>
      <w:proofErr w:type="spellStart"/>
      <w:r>
        <w:rPr>
          <w:rFonts w:ascii="Cambria" w:hAnsi="Cambria"/>
          <w:bCs/>
          <w:sz w:val="24"/>
          <w:szCs w:val="24"/>
        </w:rPr>
        <w:t>Fougnie</w:t>
      </w:r>
      <w:proofErr w:type="spellEnd"/>
    </w:p>
    <w:p w14:paraId="624EDE74" w14:textId="24549B8E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</w:t>
      </w:r>
      <w:r w:rsidR="00F72BE6">
        <w:rPr>
          <w:rFonts w:ascii="Cambria" w:hAnsi="Cambria"/>
          <w:bCs/>
          <w:sz w:val="24"/>
          <w:szCs w:val="24"/>
        </w:rPr>
        <w:t>19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2A222522" w:rsidR="00974D8C" w:rsidRDefault="00974D8C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7AF7552D" w14:textId="514B7047" w:rsidR="009C4EFD" w:rsidRDefault="009C4EFD" w:rsidP="00892604">
      <w:pPr>
        <w:spacing w:after="6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>
        <w:rPr>
          <w:rFonts w:ascii="Cambria" w:hAnsi="Cambria"/>
          <w:bCs/>
          <w:i/>
          <w:sz w:val="24"/>
          <w:szCs w:val="24"/>
          <w:u w:val="single"/>
        </w:rPr>
        <w:t>New York University Abu Dhabi:</w:t>
      </w:r>
    </w:p>
    <w:p w14:paraId="561F2C0F" w14:textId="1B2EC7C4" w:rsidR="009C4EFD" w:rsidRDefault="009C4EFD" w:rsidP="003C4473">
      <w:pPr>
        <w:spacing w:after="0" w:line="240" w:lineRule="auto"/>
        <w:rPr>
          <w:rFonts w:ascii="Cambria" w:hAnsi="Cambria"/>
          <w:bCs/>
          <w:iCs/>
          <w:sz w:val="24"/>
          <w:szCs w:val="24"/>
        </w:rPr>
      </w:pPr>
      <w:r>
        <w:rPr>
          <w:rFonts w:ascii="Cambria" w:hAnsi="Cambria"/>
          <w:bCs/>
          <w:iCs/>
          <w:sz w:val="24"/>
          <w:szCs w:val="24"/>
        </w:rPr>
        <w:t>2023, Introduction to Psychology, Teaching assistant</w:t>
      </w:r>
    </w:p>
    <w:p w14:paraId="6CB27042" w14:textId="1E73F85A" w:rsidR="009C4EFD" w:rsidRPr="009C4EFD" w:rsidRDefault="009C4EFD" w:rsidP="003C4473">
      <w:pPr>
        <w:spacing w:after="0" w:line="240" w:lineRule="auto"/>
        <w:rPr>
          <w:rFonts w:ascii="Cambria" w:hAnsi="Cambria"/>
          <w:bCs/>
          <w:iCs/>
          <w:sz w:val="24"/>
          <w:szCs w:val="24"/>
        </w:rPr>
      </w:pPr>
      <w:r>
        <w:rPr>
          <w:rFonts w:ascii="Cambria" w:hAnsi="Cambria"/>
          <w:bCs/>
          <w:iCs/>
          <w:sz w:val="24"/>
          <w:szCs w:val="24"/>
        </w:rPr>
        <w:t>2023, Thinking, Teaching assistant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4AB4CA6C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</w:t>
      </w:r>
      <w:r w:rsidR="009C4EFD">
        <w:rPr>
          <w:rFonts w:ascii="Cambria" w:hAnsi="Cambria"/>
          <w:bCs/>
          <w:sz w:val="24"/>
          <w:szCs w:val="24"/>
        </w:rPr>
        <w:t>l</w:t>
      </w:r>
      <w:r>
        <w:rPr>
          <w:rFonts w:ascii="Cambria" w:hAnsi="Cambria"/>
          <w:bCs/>
          <w:sz w:val="24"/>
          <w:szCs w:val="24"/>
        </w:rPr>
        <w:t xml:space="preserve">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5A355E93" w:rsidR="00E92240" w:rsidRDefault="00CF28EE" w:rsidP="00892604">
      <w:pPr>
        <w:spacing w:after="6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4C7A04EB" w14:textId="7CAE7076" w:rsidR="00070D8D" w:rsidRDefault="00070D8D" w:rsidP="00070D8D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hAnsi="Cambria"/>
          <w:b/>
          <w:bCs/>
          <w:i/>
          <w:sz w:val="24"/>
          <w:szCs w:val="24"/>
          <w:u w:val="single"/>
        </w:rPr>
        <w:t>Editorial</w:t>
      </w: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 xml:space="preserve"> Experience</w:t>
      </w:r>
    </w:p>
    <w:p w14:paraId="6CB1551B" w14:textId="25EA45CF" w:rsidR="00104A7B" w:rsidRPr="00070D8D" w:rsidRDefault="00C7516C" w:rsidP="0021055B">
      <w:pPr>
        <w:spacing w:after="60" w:line="240" w:lineRule="auto"/>
        <w:jc w:val="both"/>
        <w:rPr>
          <w:rFonts w:ascii="Cambria" w:hAnsi="Cambria"/>
          <w:bCs/>
          <w:iCs/>
          <w:sz w:val="24"/>
          <w:szCs w:val="24"/>
        </w:rPr>
      </w:pPr>
      <w:r w:rsidRPr="00104A7B">
        <w:rPr>
          <w:rFonts w:ascii="Cambria" w:hAnsi="Cambria"/>
          <w:b/>
          <w:iCs/>
          <w:sz w:val="24"/>
          <w:szCs w:val="24"/>
        </w:rPr>
        <w:t>Junior e</w:t>
      </w:r>
      <w:r w:rsidR="00374BAD" w:rsidRPr="00104A7B">
        <w:rPr>
          <w:rFonts w:ascii="Cambria" w:hAnsi="Cambria"/>
          <w:b/>
          <w:iCs/>
          <w:sz w:val="24"/>
          <w:szCs w:val="24"/>
        </w:rPr>
        <w:t>ditor</w:t>
      </w:r>
      <w:r w:rsidR="00070D8D">
        <w:rPr>
          <w:rFonts w:ascii="Cambria" w:hAnsi="Cambria"/>
          <w:bCs/>
          <w:iCs/>
          <w:sz w:val="24"/>
          <w:szCs w:val="24"/>
        </w:rPr>
        <w:t>, Journal of Experimental Psychology: Human perception and performance, US, 2023-2024</w:t>
      </w:r>
      <w:r w:rsidR="0021055B">
        <w:rPr>
          <w:rFonts w:ascii="Cambria" w:hAnsi="Cambria"/>
          <w:bCs/>
          <w:iCs/>
          <w:sz w:val="24"/>
          <w:szCs w:val="24"/>
        </w:rPr>
        <w:br/>
      </w:r>
      <w:r w:rsidR="00104A7B">
        <w:rPr>
          <w:rFonts w:ascii="Cambria" w:hAnsi="Cambria"/>
          <w:bCs/>
          <w:iCs/>
          <w:sz w:val="24"/>
          <w:szCs w:val="24"/>
        </w:rPr>
        <w:t xml:space="preserve">Supervisor: prof. </w:t>
      </w:r>
      <w:r w:rsidR="00104A7B" w:rsidRPr="00104A7B">
        <w:rPr>
          <w:rFonts w:ascii="Cambria" w:hAnsi="Cambria"/>
          <w:bCs/>
          <w:iCs/>
          <w:sz w:val="24"/>
          <w:szCs w:val="24"/>
        </w:rPr>
        <w:t>Isabel Gauthier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6FFA52F7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714DB8F3" w14:textId="52267BCD" w:rsidR="00892C08" w:rsidRPr="00892C08" w:rsidRDefault="00892C08" w:rsidP="00892C08">
      <w:pPr>
        <w:spacing w:after="60" w:line="240" w:lineRule="auto"/>
        <w:jc w:val="right"/>
        <w:rPr>
          <w:rFonts w:ascii="Cambria" w:hAnsi="Cambria"/>
          <w:sz w:val="24"/>
          <w:szCs w:val="24"/>
        </w:rPr>
      </w:pPr>
      <w:r w:rsidRPr="00892C08">
        <w:rPr>
          <w:rFonts w:ascii="Cambria" w:hAnsi="Cambria"/>
          <w:sz w:val="24"/>
          <w:szCs w:val="24"/>
        </w:rPr>
        <w:t>[</w:t>
      </w:r>
      <w:r>
        <w:rPr>
          <w:rFonts w:ascii="Cambria" w:hAnsi="Cambria"/>
          <w:sz w:val="24"/>
          <w:szCs w:val="24"/>
        </w:rPr>
        <w:t xml:space="preserve">* </w:t>
      </w:r>
      <w:r w:rsidR="005A03FD">
        <w:rPr>
          <w:rFonts w:ascii="Cambria" w:hAnsi="Cambria"/>
          <w:sz w:val="24"/>
          <w:szCs w:val="24"/>
        </w:rPr>
        <w:t>indicates</w:t>
      </w:r>
      <w:r>
        <w:rPr>
          <w:rFonts w:ascii="Cambria" w:hAnsi="Cambria"/>
          <w:sz w:val="24"/>
          <w:szCs w:val="24"/>
        </w:rPr>
        <w:t xml:space="preserve"> equal contribution</w:t>
      </w:r>
      <w:r w:rsidR="005A03FD">
        <w:rPr>
          <w:rFonts w:ascii="Cambria" w:hAnsi="Cambria"/>
          <w:sz w:val="24"/>
          <w:szCs w:val="24"/>
        </w:rPr>
        <w:t xml:space="preserve"> of authors</w:t>
      </w:r>
      <w:bookmarkStart w:id="0" w:name="_GoBack"/>
      <w:bookmarkEnd w:id="0"/>
      <w:r w:rsidRPr="00892C08">
        <w:rPr>
          <w:rFonts w:ascii="Cambria" w:hAnsi="Cambria"/>
          <w:sz w:val="24"/>
          <w:szCs w:val="24"/>
        </w:rPr>
        <w:t>]</w:t>
      </w:r>
    </w:p>
    <w:p w14:paraId="4F50C0E3" w14:textId="612687E5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  <w:r w:rsidR="0077512E">
        <w:rPr>
          <w:rFonts w:ascii="Cambria" w:hAnsi="Cambria"/>
          <w:b/>
          <w:bCs/>
          <w:i/>
          <w:iCs/>
          <w:sz w:val="24"/>
          <w:szCs w:val="24"/>
          <w:u w:val="single"/>
        </w:rPr>
        <w:t xml:space="preserve"> and submitted papers</w:t>
      </w:r>
    </w:p>
    <w:p w14:paraId="6F1E6FD3" w14:textId="003B4FD6" w:rsidR="0077512E" w:rsidRPr="0077512E" w:rsidRDefault="0077512E" w:rsidP="0077512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>, G.*, Wolff, M. J.</w:t>
      </w:r>
      <w:r w:rsidRPr="0077512E">
        <w:rPr>
          <w:rFonts w:ascii="Cambria" w:eastAsia="Calibri" w:hAnsi="Cambria" w:cs="Arial"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*,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Stokes, M. G., </w:t>
      </w:r>
      <w:proofErr w:type="spellStart"/>
      <w:r>
        <w:rPr>
          <w:rFonts w:ascii="Cambria" w:hAnsi="Cambria" w:cs="Arial"/>
          <w:sz w:val="24"/>
          <w:szCs w:val="24"/>
        </w:rPr>
        <w:t>Axmacher</w:t>
      </w:r>
      <w:proofErr w:type="spellEnd"/>
      <w:r>
        <w:rPr>
          <w:rFonts w:ascii="Cambria" w:hAnsi="Cambria" w:cs="Arial"/>
          <w:sz w:val="24"/>
          <w:szCs w:val="24"/>
        </w:rPr>
        <w:t xml:space="preserve">, N.,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(2022</w:t>
      </w:r>
      <w:r w:rsidR="009E6A24">
        <w:rPr>
          <w:rFonts w:ascii="Cambria" w:hAnsi="Cambria" w:cs="Arial"/>
          <w:sz w:val="24"/>
          <w:szCs w:val="24"/>
        </w:rPr>
        <w:t>, October 29</w:t>
      </w:r>
      <w:r>
        <w:rPr>
          <w:rFonts w:ascii="Cambria" w:hAnsi="Cambria" w:cs="Arial"/>
          <w:sz w:val="24"/>
          <w:szCs w:val="24"/>
        </w:rPr>
        <w:t xml:space="preserve">). </w:t>
      </w:r>
      <w:r w:rsidR="0022476D" w:rsidRPr="0022476D">
        <w:rPr>
          <w:rFonts w:ascii="Cambria" w:hAnsi="Cambria" w:cs="Arial"/>
          <w:sz w:val="24"/>
          <w:szCs w:val="24"/>
        </w:rPr>
        <w:t>Concurrent maintenance of both veridical and transformed working memory representations</w:t>
      </w:r>
      <w:r w:rsidR="0022476D">
        <w:rPr>
          <w:rFonts w:ascii="Cambria" w:hAnsi="Cambria" w:cs="Arial"/>
          <w:sz w:val="24"/>
          <w:szCs w:val="24"/>
        </w:rPr>
        <w:t xml:space="preserve">. </w:t>
      </w:r>
      <w:r w:rsidR="006E0C81" w:rsidRPr="006E0C81">
        <w:rPr>
          <w:rFonts w:ascii="Cambria" w:hAnsi="Cambria" w:cs="Arial"/>
          <w:sz w:val="24"/>
          <w:szCs w:val="24"/>
        </w:rPr>
        <w:t>https://doi.org/10.1101/2022.10.28.514218</w:t>
      </w:r>
    </w:p>
    <w:p w14:paraId="4FB2EAF7" w14:textId="1E3840E6" w:rsidR="007D3BF2" w:rsidRDefault="007D3BF2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</w:rPr>
        <w:lastRenderedPageBreak/>
        <w:t xml:space="preserve">Wang, S.,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</w:t>
      </w:r>
      <w:r w:rsidRPr="0018480D">
        <w:rPr>
          <w:rFonts w:ascii="Cambria" w:eastAsia="Calibri" w:hAnsi="Cambria" w:cs="Arial"/>
          <w:sz w:val="24"/>
          <w:szCs w:val="24"/>
        </w:rPr>
        <w:t xml:space="preserve">(2022, </w:t>
      </w:r>
      <w:r>
        <w:rPr>
          <w:rFonts w:ascii="Cambria" w:eastAsia="Calibri" w:hAnsi="Cambria" w:cs="Arial"/>
          <w:sz w:val="24"/>
          <w:szCs w:val="24"/>
        </w:rPr>
        <w:t>September</w:t>
      </w:r>
      <w:r w:rsidRPr="0018480D">
        <w:rPr>
          <w:rFonts w:ascii="Cambria" w:eastAsia="Calibri" w:hAnsi="Cambria" w:cs="Arial"/>
          <w:sz w:val="24"/>
          <w:szCs w:val="24"/>
        </w:rPr>
        <w:t xml:space="preserve"> 1</w:t>
      </w:r>
      <w:r>
        <w:rPr>
          <w:rFonts w:ascii="Cambria" w:eastAsia="Calibri" w:hAnsi="Cambria" w:cs="Arial"/>
          <w:sz w:val="24"/>
          <w:szCs w:val="24"/>
        </w:rPr>
        <w:t>8</w:t>
      </w:r>
      <w:r w:rsidRPr="0018480D">
        <w:rPr>
          <w:rFonts w:ascii="Cambria" w:eastAsia="Calibri" w:hAnsi="Cambria" w:cs="Arial"/>
          <w:sz w:val="24"/>
          <w:szCs w:val="24"/>
        </w:rPr>
        <w:t xml:space="preserve">). </w:t>
      </w:r>
      <w:r w:rsidRPr="007D3BF2">
        <w:rPr>
          <w:rFonts w:ascii="Cambria" w:eastAsia="Calibri" w:hAnsi="Cambria" w:cs="Arial"/>
          <w:sz w:val="24"/>
          <w:szCs w:val="24"/>
        </w:rPr>
        <w:t>Which visual working memory model accounts best for target representation in the attentional blink?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7D3BF2">
        <w:rPr>
          <w:rFonts w:ascii="Cambria" w:eastAsia="Calibri" w:hAnsi="Cambria" w:cs="Arial"/>
          <w:sz w:val="24"/>
          <w:szCs w:val="24"/>
        </w:rPr>
        <w:t>https://doi.org/10.1101/2022.09.15.508098</w:t>
      </w:r>
    </w:p>
    <w:p w14:paraId="13D63A5B" w14:textId="17C73117" w:rsidR="00F15249" w:rsidRPr="0018480D" w:rsidRDefault="0018480D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483801B" w14:textId="03BAB11B" w:rsidR="00856DD8" w:rsidRDefault="002C2738" w:rsidP="00856DD8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2C2738">
        <w:rPr>
          <w:rFonts w:ascii="Cambria" w:hAnsi="Cambria" w:cs="Arial"/>
          <w:sz w:val="24"/>
          <w:szCs w:val="24"/>
        </w:rPr>
        <w:t>Altınok</w:t>
      </w:r>
      <w:proofErr w:type="spellEnd"/>
      <w:r w:rsidRPr="002C2738">
        <w:rPr>
          <w:rFonts w:ascii="Cambria" w:hAnsi="Cambria" w:cs="Arial"/>
          <w:sz w:val="24"/>
          <w:szCs w:val="24"/>
        </w:rPr>
        <w:t xml:space="preserve">, A., </w:t>
      </w:r>
      <w:r w:rsidRPr="006348E7">
        <w:rPr>
          <w:rFonts w:ascii="Cambria" w:hAnsi="Cambria" w:cs="Arial"/>
          <w:b/>
          <w:bCs/>
          <w:sz w:val="24"/>
          <w:szCs w:val="24"/>
        </w:rPr>
        <w:t>Karabay, A.</w:t>
      </w:r>
      <w:r w:rsidRPr="002C2738">
        <w:rPr>
          <w:rFonts w:ascii="Cambria" w:hAnsi="Cambria" w:cs="Arial"/>
          <w:sz w:val="24"/>
          <w:szCs w:val="24"/>
        </w:rPr>
        <w:t xml:space="preserve">, Balta, G, de </w:t>
      </w:r>
      <w:proofErr w:type="spellStart"/>
      <w:r w:rsidRPr="002C2738">
        <w:rPr>
          <w:rFonts w:ascii="Cambria" w:hAnsi="Cambria" w:cs="Arial"/>
          <w:sz w:val="24"/>
          <w:szCs w:val="24"/>
        </w:rPr>
        <w:t>Jonge</w:t>
      </w:r>
      <w:proofErr w:type="spellEnd"/>
      <w:r w:rsidRPr="002C2738">
        <w:rPr>
          <w:rFonts w:ascii="Cambria" w:hAnsi="Cambria" w:cs="Arial"/>
          <w:sz w:val="24"/>
          <w:szCs w:val="24"/>
        </w:rPr>
        <w:t xml:space="preserve">, J., &amp; </w:t>
      </w:r>
      <w:proofErr w:type="spellStart"/>
      <w:r w:rsidRPr="002C2738">
        <w:rPr>
          <w:rFonts w:ascii="Cambria" w:hAnsi="Cambria" w:cs="Arial"/>
          <w:sz w:val="24"/>
          <w:szCs w:val="24"/>
        </w:rPr>
        <w:t>Akyürek</w:t>
      </w:r>
      <w:proofErr w:type="spellEnd"/>
      <w:r w:rsidRPr="002C2738">
        <w:rPr>
          <w:rFonts w:ascii="Cambria" w:hAnsi="Cambria" w:cs="Arial"/>
          <w:sz w:val="24"/>
          <w:szCs w:val="24"/>
        </w:rPr>
        <w:t>, E.G. (</w:t>
      </w:r>
      <w:r w:rsidR="00622060">
        <w:rPr>
          <w:rFonts w:ascii="Cambria" w:hAnsi="Cambria" w:cs="Arial"/>
          <w:sz w:val="24"/>
          <w:szCs w:val="24"/>
        </w:rPr>
        <w:t>2023</w:t>
      </w:r>
      <w:r w:rsidRPr="002C2738">
        <w:rPr>
          <w:rFonts w:ascii="Cambria" w:hAnsi="Cambria" w:cs="Arial"/>
          <w:sz w:val="24"/>
          <w:szCs w:val="24"/>
        </w:rPr>
        <w:t xml:space="preserve">). </w:t>
      </w:r>
      <w:r w:rsidR="00EF32AB" w:rsidRPr="00EF32AB">
        <w:rPr>
          <w:rFonts w:ascii="Cambria" w:hAnsi="Cambria" w:cs="Arial"/>
          <w:sz w:val="24"/>
          <w:szCs w:val="24"/>
        </w:rPr>
        <w:t xml:space="preserve">Effects of gamma-aminobutyric </w:t>
      </w:r>
      <w:proofErr w:type="gramStart"/>
      <w:r w:rsidR="00EF32AB" w:rsidRPr="00EF32AB">
        <w:rPr>
          <w:rFonts w:ascii="Cambria" w:hAnsi="Cambria" w:cs="Arial"/>
          <w:sz w:val="24"/>
          <w:szCs w:val="24"/>
        </w:rPr>
        <w:t>acid  on</w:t>
      </w:r>
      <w:proofErr w:type="gramEnd"/>
      <w:r w:rsidR="00EF32AB" w:rsidRPr="00EF32AB">
        <w:rPr>
          <w:rFonts w:ascii="Cambria" w:hAnsi="Cambria" w:cs="Arial"/>
          <w:sz w:val="24"/>
          <w:szCs w:val="24"/>
        </w:rPr>
        <w:t xml:space="preserve"> working memory and attention:  A randomized, double-blinded,  placebo-controlled, crossover trial</w:t>
      </w:r>
      <w:r w:rsidR="00EF32AB">
        <w:rPr>
          <w:rFonts w:ascii="Cambria" w:hAnsi="Cambria" w:cs="Arial"/>
          <w:sz w:val="24"/>
          <w:szCs w:val="24"/>
        </w:rPr>
        <w:t xml:space="preserve">. </w:t>
      </w:r>
      <w:r w:rsidRPr="002C2738">
        <w:rPr>
          <w:rFonts w:ascii="Cambria" w:hAnsi="Cambria" w:cs="Arial"/>
          <w:i/>
          <w:iCs/>
          <w:sz w:val="24"/>
          <w:szCs w:val="24"/>
        </w:rPr>
        <w:t>J</w:t>
      </w:r>
      <w:r>
        <w:rPr>
          <w:rFonts w:ascii="Cambria" w:hAnsi="Cambria" w:cs="Arial"/>
          <w:i/>
          <w:iCs/>
          <w:sz w:val="24"/>
          <w:szCs w:val="24"/>
        </w:rPr>
        <w:t>ournal of Psychopharmacology.</w:t>
      </w:r>
      <w:r w:rsidR="00900CE2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856DD8" w:rsidRPr="00856DD8">
        <w:rPr>
          <w:rFonts w:ascii="Cambria" w:hAnsi="Cambria" w:cs="Arial"/>
          <w:sz w:val="24"/>
          <w:szCs w:val="24"/>
        </w:rPr>
        <w:t>doi</w:t>
      </w:r>
      <w:proofErr w:type="spellEnd"/>
      <w:r w:rsidR="00856DD8" w:rsidRPr="00856DD8">
        <w:rPr>
          <w:rFonts w:ascii="Cambria" w:hAnsi="Cambria" w:cs="Arial"/>
          <w:sz w:val="24"/>
          <w:szCs w:val="24"/>
        </w:rPr>
        <w:t>: 10.1177/02698811231161579</w:t>
      </w:r>
    </w:p>
    <w:p w14:paraId="718467EA" w14:textId="5E2FA2C0" w:rsidR="00E91AE0" w:rsidRPr="00462755" w:rsidRDefault="00E91AE0" w:rsidP="00856DD8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(202</w:t>
      </w:r>
      <w:r>
        <w:rPr>
          <w:rFonts w:ascii="Cambria" w:hAnsi="Cambria" w:cs="Arial"/>
          <w:sz w:val="24"/>
          <w:szCs w:val="24"/>
        </w:rPr>
        <w:t>3</w:t>
      </w:r>
      <w:r w:rsidRPr="007C4D8E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 w:rsidR="00B95BF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r w:rsidRPr="00331B67">
        <w:rPr>
          <w:rFonts w:ascii="Cambria" w:hAnsi="Cambria" w:cs="Arial"/>
          <w:i/>
          <w:iCs/>
          <w:sz w:val="24"/>
          <w:szCs w:val="24"/>
        </w:rPr>
        <w:t>60</w:t>
      </w:r>
      <w:r>
        <w:rPr>
          <w:rFonts w:ascii="Cambria" w:hAnsi="Cambria" w:cs="Arial"/>
          <w:sz w:val="24"/>
          <w:szCs w:val="24"/>
        </w:rPr>
        <w:t xml:space="preserve">(1). 1-14. </w:t>
      </w:r>
      <w:r w:rsidRPr="002A427B">
        <w:rPr>
          <w:rFonts w:ascii="Cambria" w:hAnsi="Cambria" w:cs="Arial"/>
          <w:sz w:val="24"/>
          <w:szCs w:val="24"/>
        </w:rPr>
        <w:t>doi:10.1111/psyp.14155</w:t>
      </w:r>
    </w:p>
    <w:p w14:paraId="699AA93A" w14:textId="40EE9470" w:rsidR="0093729B" w:rsidRPr="002D0C7B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>European Journal of Nutrition</w:t>
      </w:r>
      <w:r w:rsidR="00B95BFB">
        <w:rPr>
          <w:rFonts w:ascii="Cambria" w:hAnsi="Cambria" w:cs="Arial"/>
          <w:i/>
          <w:sz w:val="24"/>
          <w:szCs w:val="24"/>
          <w:lang w:val="nl-NL"/>
        </w:rPr>
        <w:t>,</w:t>
      </w:r>
      <w:r w:rsidR="00B95BFB" w:rsidRPr="00B95BFB">
        <w:rPr>
          <w:rFonts w:ascii="Cambria" w:hAnsi="Cambria" w:cs="Arial"/>
          <w:i/>
          <w:sz w:val="24"/>
          <w:szCs w:val="24"/>
          <w:lang w:val="nl-NL"/>
        </w:rPr>
        <w:t xml:space="preserve"> 61</w:t>
      </w:r>
      <w:r w:rsidR="00B95BFB" w:rsidRPr="00B95BFB">
        <w:rPr>
          <w:rFonts w:ascii="Cambria" w:hAnsi="Cambria" w:cs="Arial"/>
          <w:iCs/>
          <w:sz w:val="24"/>
          <w:szCs w:val="24"/>
          <w:lang w:val="nl-NL"/>
        </w:rPr>
        <w:t>(3), 1665–1678</w:t>
      </w:r>
      <w:r w:rsidR="00B95BFB" w:rsidRPr="00B95BFB">
        <w:rPr>
          <w:rFonts w:ascii="Cambria" w:hAnsi="Cambria" w:cs="Arial"/>
          <w:i/>
          <w:sz w:val="24"/>
          <w:szCs w:val="24"/>
          <w:lang w:val="nl-NL"/>
        </w:rPr>
        <w:t>.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doi:</w:t>
      </w:r>
      <w:r w:rsidRPr="002D0C7B">
        <w:rPr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77BF8ADC" w14:textId="50E4F99F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(49). 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proofErr w:type="spellStart"/>
      <w:r w:rsidR="000100FB">
        <w:rPr>
          <w:rFonts w:ascii="Cambria" w:hAnsi="Cambria" w:cs="Arial"/>
          <w:iCs/>
          <w:sz w:val="24"/>
          <w:szCs w:val="24"/>
        </w:rPr>
        <w:t>doi</w:t>
      </w:r>
      <w:proofErr w:type="spellEnd"/>
      <w:r w:rsidR="000100FB">
        <w:rPr>
          <w:rFonts w:ascii="Cambria" w:hAnsi="Cambria" w:cs="Arial"/>
          <w:iCs/>
          <w:sz w:val="24"/>
          <w:szCs w:val="24"/>
        </w:rPr>
        <w:t xml:space="preserve">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2AB1308D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  <w:r w:rsidR="001B61B7">
        <w:rPr>
          <w:rFonts w:ascii="Cambria" w:eastAsia="Calibri" w:hAnsi="Cambria" w:cs="Arial"/>
          <w:sz w:val="24"/>
          <w:szCs w:val="24"/>
        </w:rPr>
        <w:t xml:space="preserve"> Ankara, Turkey.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35486634" w:rsidR="00254BCC" w:rsidRPr="00F6106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p w14:paraId="27CA7770" w14:textId="1862880F" w:rsidR="003470EE" w:rsidRPr="003470EE" w:rsidRDefault="003470EE" w:rsidP="003470EE">
      <w:pPr>
        <w:pStyle w:val="NoSpacing"/>
        <w:spacing w:after="60"/>
        <w:jc w:val="both"/>
        <w:rPr>
          <w:rFonts w:ascii="Cambria" w:hAnsi="Cambria" w:cs="Arial"/>
          <w:bCs/>
          <w:iCs/>
          <w:sz w:val="24"/>
          <w:szCs w:val="24"/>
          <w:u w:val="single"/>
        </w:rPr>
      </w:pPr>
      <w:r w:rsidRPr="003F3C92">
        <w:rPr>
          <w:rFonts w:ascii="Cambria" w:hAnsi="Cambria" w:cs="Arial"/>
          <w:b/>
          <w:sz w:val="24"/>
          <w:szCs w:val="24"/>
          <w:lang w:val="nl-NL"/>
        </w:rPr>
        <w:t>Karabay, A.</w:t>
      </w:r>
      <w:r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(2022, August).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Taking a snapshot of the brain: Visual impulse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reveals (non)persistent neural activity by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perturbation and increasing signal-noise ratio</w:t>
      </w:r>
      <w:r>
        <w:rPr>
          <w:rFonts w:ascii="Cambria" w:hAnsi="Cambria" w:cs="Arial"/>
          <w:bCs/>
          <w:sz w:val="24"/>
          <w:szCs w:val="24"/>
          <w:lang w:val="nl-NL"/>
        </w:rPr>
        <w:t>. Ghent University in Gent, Belgium.</w:t>
      </w:r>
    </w:p>
    <w:p w14:paraId="7AD3E57D" w14:textId="397C6FF5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Conference Talks</w:t>
      </w:r>
    </w:p>
    <w:p w14:paraId="71FFBCBB" w14:textId="63F29A64" w:rsidR="000A7A6A" w:rsidRPr="0068711D" w:rsidRDefault="000A7A6A" w:rsidP="0068711D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>Akyürek, E. G.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Kandemir, G., Wolff, M., </w:t>
      </w:r>
      <w:r w:rsidRPr="000A7A6A">
        <w:rPr>
          <w:rFonts w:ascii="Cambria" w:hAnsi="Cambria" w:cs="Arial"/>
          <w:b/>
          <w:bCs/>
          <w:sz w:val="24"/>
          <w:szCs w:val="24"/>
          <w:lang w:val="nl-NL"/>
        </w:rPr>
        <w:t>Karabay, A.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&amp; Wilhelm, S.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>).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Probing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latent working memory representations in EEG.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3F3C92">
        <w:rPr>
          <w:rFonts w:ascii="Cambria" w:hAnsi="Cambria" w:cs="Arial"/>
          <w:sz w:val="24"/>
          <w:szCs w:val="24"/>
        </w:rPr>
        <w:t xml:space="preserve">Oral </w:t>
      </w:r>
      <w:r w:rsidR="0068711D"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="0068711D" w:rsidRPr="00254BCC">
        <w:rPr>
          <w:rFonts w:ascii="Cambria" w:hAnsi="Cambria" w:cs="Arial"/>
          <w:sz w:val="24"/>
          <w:szCs w:val="24"/>
        </w:rPr>
        <w:t xml:space="preserve">at the </w:t>
      </w:r>
      <w:r w:rsidR="0068711D">
        <w:rPr>
          <w:rFonts w:ascii="Cambria" w:hAnsi="Cambria" w:cs="Arial"/>
          <w:sz w:val="24"/>
          <w:szCs w:val="24"/>
        </w:rPr>
        <w:t>22st</w:t>
      </w:r>
      <w:r w:rsidR="0068711D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68711D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68711D" w:rsidRPr="00254BCC">
        <w:rPr>
          <w:rFonts w:ascii="Cambria" w:hAnsi="Cambria" w:cs="Arial"/>
          <w:sz w:val="24"/>
          <w:szCs w:val="24"/>
        </w:rPr>
        <w:t xml:space="preserve">) in </w:t>
      </w:r>
      <w:r w:rsidR="0068711D">
        <w:rPr>
          <w:rFonts w:ascii="Cambria" w:hAnsi="Cambria" w:cs="Arial"/>
          <w:sz w:val="24"/>
          <w:szCs w:val="24"/>
        </w:rPr>
        <w:t>Lille</w:t>
      </w:r>
      <w:r w:rsidR="0068711D" w:rsidRPr="00254BCC">
        <w:rPr>
          <w:rFonts w:ascii="Cambria" w:hAnsi="Cambria" w:cs="Arial"/>
          <w:sz w:val="24"/>
          <w:szCs w:val="24"/>
        </w:rPr>
        <w:t xml:space="preserve">, </w:t>
      </w:r>
      <w:r w:rsidR="0068711D">
        <w:rPr>
          <w:rFonts w:ascii="Cambria" w:hAnsi="Cambria" w:cs="Arial"/>
          <w:sz w:val="24"/>
          <w:szCs w:val="24"/>
        </w:rPr>
        <w:t>France</w:t>
      </w:r>
      <w:r w:rsidR="0068711D" w:rsidRPr="00254BCC">
        <w:rPr>
          <w:rFonts w:ascii="Cambria" w:hAnsi="Cambria" w:cs="Arial"/>
          <w:sz w:val="24"/>
          <w:szCs w:val="24"/>
        </w:rPr>
        <w:t>.</w:t>
      </w:r>
    </w:p>
    <w:p w14:paraId="41222E4F" w14:textId="4EB5116D" w:rsidR="00554AF1" w:rsidRPr="00554AF1" w:rsidRDefault="00554AF1" w:rsidP="00554AF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6D0EB4">
        <w:rPr>
          <w:rFonts w:ascii="Cambria" w:hAnsi="Cambria" w:cs="Arial"/>
          <w:sz w:val="24"/>
          <w:szCs w:val="24"/>
        </w:rPr>
        <w:lastRenderedPageBreak/>
        <w:t xml:space="preserve">Chen, I., </w:t>
      </w:r>
      <w:proofErr w:type="spellStart"/>
      <w:r w:rsidRPr="006D0EB4">
        <w:rPr>
          <w:rFonts w:ascii="Cambria" w:hAnsi="Cambria" w:cs="Arial"/>
          <w:sz w:val="24"/>
          <w:szCs w:val="24"/>
        </w:rPr>
        <w:t>Buchel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P., </w:t>
      </w:r>
      <w:r w:rsidRPr="007A5051">
        <w:rPr>
          <w:rFonts w:ascii="Cambria" w:hAnsi="Cambria" w:cs="Arial"/>
          <w:b/>
          <w:bCs/>
          <w:sz w:val="24"/>
          <w:szCs w:val="24"/>
        </w:rPr>
        <w:t>Karabay, A.,</w:t>
      </w:r>
      <w:r w:rsidRPr="006D0EB4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hAnsi="Cambria" w:cs="Arial"/>
          <w:sz w:val="24"/>
          <w:szCs w:val="24"/>
        </w:rPr>
        <w:t>Mathȏt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S., &amp; </w:t>
      </w:r>
      <w:r w:rsidRPr="00280F83">
        <w:rPr>
          <w:rFonts w:ascii="Cambria" w:hAnsi="Cambria" w:cs="Arial"/>
          <w:sz w:val="24"/>
          <w:szCs w:val="24"/>
          <w:lang w:val="nl-NL"/>
        </w:rPr>
        <w:t>Akyürek</w:t>
      </w:r>
      <w:r w:rsidRPr="006D0EB4">
        <w:rPr>
          <w:rFonts w:ascii="Cambria" w:hAnsi="Cambria" w:cs="Arial"/>
          <w:sz w:val="24"/>
          <w:szCs w:val="24"/>
        </w:rPr>
        <w:t xml:space="preserve">, E.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6D0EB4">
        <w:rPr>
          <w:rFonts w:ascii="Cambria" w:hAnsi="Cambria" w:cs="Arial"/>
          <w:sz w:val="24"/>
          <w:szCs w:val="24"/>
        </w:rPr>
        <w:t>Concealed</w:t>
      </w:r>
      <w:r>
        <w:rPr>
          <w:rFonts w:ascii="Cambria" w:hAnsi="Cambria" w:cs="Arial"/>
          <w:sz w:val="24"/>
          <w:szCs w:val="24"/>
        </w:rPr>
        <w:t xml:space="preserve"> </w:t>
      </w:r>
      <w:r w:rsidRPr="006D0EB4">
        <w:rPr>
          <w:rFonts w:ascii="Cambria" w:hAnsi="Cambria" w:cs="Arial"/>
          <w:sz w:val="24"/>
          <w:szCs w:val="24"/>
        </w:rPr>
        <w:t>familiar face detection with pupillometry in rapid serial visual presentation</w:t>
      </w:r>
      <w:r>
        <w:rPr>
          <w:rFonts w:ascii="Cambria" w:hAnsi="Cambria" w:cs="Arial"/>
          <w:sz w:val="24"/>
          <w:szCs w:val="24"/>
        </w:rPr>
        <w:t>.</w:t>
      </w:r>
      <w:r w:rsidRPr="007A5051">
        <w:t xml:space="preserve"> </w:t>
      </w:r>
      <w:r w:rsidRPr="007A5051">
        <w:rPr>
          <w:rFonts w:ascii="Cambria" w:hAnsi="Cambria" w:cs="Arial"/>
          <w:sz w:val="24"/>
          <w:szCs w:val="24"/>
        </w:rPr>
        <w:t>Oral session presented at the 22st Conference of the European Society for Cognitive Psychology (</w:t>
      </w:r>
      <w:proofErr w:type="spellStart"/>
      <w:r w:rsidRPr="007A5051">
        <w:rPr>
          <w:rFonts w:ascii="Cambria" w:hAnsi="Cambria" w:cs="Arial"/>
          <w:sz w:val="24"/>
          <w:szCs w:val="24"/>
        </w:rPr>
        <w:t>ESCoP</w:t>
      </w:r>
      <w:proofErr w:type="spellEnd"/>
      <w:r w:rsidRPr="007A5051">
        <w:rPr>
          <w:rFonts w:ascii="Cambria" w:hAnsi="Cambria" w:cs="Arial"/>
          <w:sz w:val="24"/>
          <w:szCs w:val="24"/>
        </w:rPr>
        <w:t>) in Lille, France.</w:t>
      </w:r>
    </w:p>
    <w:p w14:paraId="7EC242AB" w14:textId="2212AA76" w:rsidR="00545A89" w:rsidRDefault="00545A89" w:rsidP="007A505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 &amp; Akyürek, E. 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545A89">
        <w:rPr>
          <w:rFonts w:ascii="Cambria" w:hAnsi="Cambria" w:cs="Arial"/>
          <w:sz w:val="24"/>
          <w:szCs w:val="24"/>
        </w:rPr>
        <w:t>Which working memory model</w:t>
      </w:r>
      <w:r>
        <w:rPr>
          <w:rFonts w:ascii="Cambria" w:hAnsi="Cambria" w:cs="Arial"/>
          <w:sz w:val="24"/>
          <w:szCs w:val="24"/>
        </w:rPr>
        <w:t xml:space="preserve"> </w:t>
      </w:r>
      <w:r w:rsidRPr="00545A89">
        <w:rPr>
          <w:rFonts w:ascii="Cambria" w:hAnsi="Cambria" w:cs="Arial"/>
          <w:sz w:val="24"/>
          <w:szCs w:val="24"/>
        </w:rPr>
        <w:t>accounts best for target representation during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Oral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71DB8939" w14:textId="785272FA" w:rsidR="001F4CC9" w:rsidRDefault="001F4CC9" w:rsidP="007A5051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1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1"/>
      <w:r w:rsidRPr="003F3C92">
        <w:rPr>
          <w:rFonts w:ascii="Cambria" w:eastAsia="Calibri" w:hAnsi="Cambria" w:cs="Arial"/>
          <w:sz w:val="24"/>
          <w:szCs w:val="24"/>
        </w:rPr>
        <w:t xml:space="preserve">Oral </w:t>
      </w:r>
      <w:r w:rsidR="00545A89">
        <w:rPr>
          <w:rFonts w:ascii="Cambria" w:eastAsia="Calibri" w:hAnsi="Cambria" w:cs="Arial"/>
          <w:sz w:val="24"/>
          <w:szCs w:val="24"/>
        </w:rPr>
        <w:t>s</w:t>
      </w:r>
      <w:r w:rsidRPr="003F3C92">
        <w:rPr>
          <w:rFonts w:ascii="Cambria" w:eastAsia="Calibri" w:hAnsi="Cambria" w:cs="Arial"/>
          <w:sz w:val="24"/>
          <w:szCs w:val="24"/>
        </w:rPr>
        <w:t xml:space="preserve">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545A89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F6106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p w14:paraId="3AA9BB82" w14:textId="6A46BDB7" w:rsidR="000C2FB0" w:rsidRPr="000C2FB0" w:rsidRDefault="000C2FB0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0C2FB0">
        <w:rPr>
          <w:rFonts w:ascii="Cambria" w:hAnsi="Cambria" w:cs="Arial"/>
          <w:b/>
          <w:bCs/>
          <w:sz w:val="24"/>
          <w:szCs w:val="24"/>
        </w:rPr>
        <w:t>Karabay, A.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Kandemir</w:t>
      </w:r>
      <w:proofErr w:type="spellEnd"/>
      <w:r w:rsidRPr="000C2FB0">
        <w:rPr>
          <w:rFonts w:ascii="Cambria" w:hAnsi="Cambria" w:cs="Arial"/>
          <w:sz w:val="24"/>
          <w:szCs w:val="24"/>
        </w:rPr>
        <w:t>, G.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Kovács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E.R.,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Pinging attentional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 rules: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Neural mechanisms underlying attending and suppressing in visual search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tasks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3547626E" w14:textId="67B6206E" w:rsidR="00AE5E43" w:rsidRPr="00AE5E43" w:rsidRDefault="00AE5E43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Lorist</w:t>
      </w:r>
      <w:proofErr w:type="spellEnd"/>
      <w:r w:rsidRPr="00AE5E43">
        <w:rPr>
          <w:rFonts w:ascii="Cambria" w:hAnsi="Cambria" w:cs="Arial"/>
          <w:sz w:val="24"/>
          <w:szCs w:val="24"/>
        </w:rPr>
        <w:t>, M.</w:t>
      </w:r>
      <w:r>
        <w:rPr>
          <w:rFonts w:ascii="Cambria" w:hAnsi="Cambria" w:cs="Arial"/>
          <w:sz w:val="24"/>
          <w:szCs w:val="24"/>
        </w:rPr>
        <w:t xml:space="preserve"> M.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Weiden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D.,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The Acute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Effects of Caffeine and Cocoa Flavanols on Working Memory and Attention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E2FED35" w14:textId="11A67A2D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lastRenderedPageBreak/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 xml:space="preserve">E. G. (2018, May). Target </w:t>
      </w:r>
      <w:proofErr w:type="spellStart"/>
      <w:r w:rsidRPr="004B0435">
        <w:rPr>
          <w:rFonts w:ascii="Cambria" w:hAnsi="Cambria" w:cs="Arial"/>
          <w:sz w:val="24"/>
          <w:szCs w:val="24"/>
        </w:rPr>
        <w:t>Color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="003B2273"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="003B2273" w:rsidRPr="004B0435">
        <w:rPr>
          <w:rFonts w:ascii="Cambria" w:hAnsi="Cambria" w:cs="Arial"/>
          <w:sz w:val="24"/>
          <w:szCs w:val="24"/>
          <w:lang w:val="en-US"/>
        </w:rPr>
        <w:t>) in Potsdam, Germany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65A411D9" w14:textId="75C51C80" w:rsidR="00F41EF1" w:rsidRPr="00F82F83" w:rsidRDefault="008A7523" w:rsidP="00F82F83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36970055" w14:textId="1C4EA18D" w:rsidR="000F7F1B" w:rsidRPr="000F7F1B" w:rsidRDefault="000F7F1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Open Research award for the study ‘</w:t>
      </w:r>
      <w:r w:rsidRPr="000F7F1B">
        <w:rPr>
          <w:rFonts w:ascii="Cambria" w:hAnsi="Cambria" w:cs="Arial"/>
          <w:i/>
          <w:iCs/>
          <w:sz w:val="24"/>
          <w:szCs w:val="24"/>
        </w:rPr>
        <w:t>Concealed familiar face detection with pupillometry in rapid serial visual presentation</w:t>
      </w:r>
      <w:r>
        <w:rPr>
          <w:rFonts w:ascii="Cambria" w:hAnsi="Cambria" w:cs="Arial"/>
          <w:i/>
          <w:iCs/>
          <w:sz w:val="24"/>
          <w:szCs w:val="24"/>
        </w:rPr>
        <w:t>’</w:t>
      </w:r>
      <w:r>
        <w:rPr>
          <w:rFonts w:ascii="Cambria" w:hAnsi="Cambria" w:cs="Arial"/>
          <w:sz w:val="24"/>
          <w:szCs w:val="24"/>
        </w:rPr>
        <w:t xml:space="preserve">, by Open Science </w:t>
      </w:r>
      <w:proofErr w:type="spellStart"/>
      <w:r>
        <w:rPr>
          <w:rFonts w:ascii="Cambria" w:hAnsi="Cambria" w:cs="Arial"/>
          <w:sz w:val="24"/>
          <w:szCs w:val="24"/>
        </w:rPr>
        <w:t>Programme</w:t>
      </w:r>
      <w:proofErr w:type="spellEnd"/>
      <w:r>
        <w:rPr>
          <w:rFonts w:ascii="Cambria" w:hAnsi="Cambria" w:cs="Arial"/>
          <w:sz w:val="24"/>
          <w:szCs w:val="24"/>
        </w:rPr>
        <w:t>, University of Groningen, Groningen, the Netherlands, 2022.</w:t>
      </w:r>
    </w:p>
    <w:p w14:paraId="41CEE351" w14:textId="0A59E4C8" w:rsidR="00A04DFB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</w:t>
      </w:r>
      <w:r w:rsidR="004625B1">
        <w:rPr>
          <w:rFonts w:ascii="Cambria" w:hAnsi="Cambria"/>
          <w:sz w:val="24"/>
          <w:szCs w:val="24"/>
        </w:rPr>
        <w:t xml:space="preserve"> the </w:t>
      </w:r>
      <w:r w:rsidR="0072408E">
        <w:rPr>
          <w:rFonts w:ascii="Cambria" w:hAnsi="Cambria"/>
          <w:sz w:val="24"/>
          <w:szCs w:val="24"/>
        </w:rPr>
        <w:t>Netherlands</w:t>
      </w:r>
      <w:r>
        <w:rPr>
          <w:rFonts w:ascii="Cambria" w:hAnsi="Cambria"/>
          <w:sz w:val="24"/>
          <w:szCs w:val="24"/>
        </w:rPr>
        <w:t>, 2022.</w:t>
      </w:r>
    </w:p>
    <w:p w14:paraId="35AA7CB0" w14:textId="77777777" w:rsidR="00E81B6E" w:rsidRPr="002E5D74" w:rsidRDefault="00E81B6E" w:rsidP="00E81B6E">
      <w:pPr>
        <w:pStyle w:val="ListParagraph"/>
        <w:spacing w:after="60" w:line="240" w:lineRule="auto"/>
        <w:ind w:left="426"/>
        <w:jc w:val="both"/>
        <w:rPr>
          <w:rFonts w:ascii="Cambria" w:hAnsi="Cambria"/>
          <w:sz w:val="24"/>
          <w:szCs w:val="24"/>
        </w:rPr>
      </w:pP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F101561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</w:t>
      </w:r>
      <w:r w:rsidR="005462FD">
        <w:rPr>
          <w:rFonts w:ascii="Cambria" w:hAnsi="Cambria"/>
        </w:rPr>
        <w:t>O</w:t>
      </w:r>
      <w:r>
        <w:rPr>
          <w:rFonts w:ascii="Cambria" w:hAnsi="Cambria"/>
        </w:rPr>
        <w:t xml:space="preserve">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</w:t>
      </w:r>
      <w:r w:rsidR="000454C9">
        <w:rPr>
          <w:rFonts w:ascii="Cambria" w:hAnsi="Cambria"/>
        </w:rPr>
        <w:t>ü</w:t>
      </w:r>
      <w:r>
        <w:rPr>
          <w:rFonts w:ascii="Cambria" w:hAnsi="Cambria"/>
        </w:rPr>
        <w:t>re</w:t>
      </w:r>
      <w:r w:rsidR="006D3644">
        <w:rPr>
          <w:rFonts w:ascii="Cambria" w:hAnsi="Cambria"/>
        </w:rPr>
        <w:t>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50E247F" w14:textId="04535155" w:rsidR="005A63E1" w:rsidRPr="005A63E1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 xml:space="preserve">Ph.D. and Postdoc Representative, </w:t>
      </w:r>
      <w:r>
        <w:rPr>
          <w:rFonts w:ascii="Cambria" w:hAnsi="Cambria"/>
          <w:bCs/>
          <w:sz w:val="24"/>
          <w:szCs w:val="24"/>
        </w:rPr>
        <w:t>Department of Experimental Psychology, University of Groningen, NL, 2021-2022.</w:t>
      </w:r>
    </w:p>
    <w:p w14:paraId="2DFB5561" w14:textId="1E0731CC" w:rsidR="005A63E1" w:rsidRPr="00EC3ADA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 Ph.D.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5CD6A" w14:textId="77777777" w:rsidR="000A21DB" w:rsidRDefault="000A21DB" w:rsidP="009E1FEB">
      <w:pPr>
        <w:spacing w:after="0" w:line="240" w:lineRule="auto"/>
      </w:pPr>
      <w:r>
        <w:separator/>
      </w:r>
    </w:p>
  </w:endnote>
  <w:endnote w:type="continuationSeparator" w:id="0">
    <w:p w14:paraId="74C8915A" w14:textId="77777777" w:rsidR="000A21DB" w:rsidRDefault="000A21DB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5D564" w14:textId="77777777" w:rsidR="000A21DB" w:rsidRDefault="000A21DB" w:rsidP="009E1FEB">
      <w:pPr>
        <w:spacing w:after="0" w:line="240" w:lineRule="auto"/>
      </w:pPr>
      <w:r>
        <w:separator/>
      </w:r>
    </w:p>
  </w:footnote>
  <w:footnote w:type="continuationSeparator" w:id="0">
    <w:p w14:paraId="24ACF7B7" w14:textId="77777777" w:rsidR="000A21DB" w:rsidRDefault="000A21DB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64FAJIZ5PUtAAAA"/>
  </w:docVars>
  <w:rsids>
    <w:rsidRoot w:val="00E32A7D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70D8D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0F7F1B"/>
    <w:rsid w:val="00104A7B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7732E"/>
    <w:rsid w:val="00184240"/>
    <w:rsid w:val="0018480D"/>
    <w:rsid w:val="00185F1B"/>
    <w:rsid w:val="001A6F3F"/>
    <w:rsid w:val="001A7024"/>
    <w:rsid w:val="001B61B7"/>
    <w:rsid w:val="001D00A9"/>
    <w:rsid w:val="001E4E1E"/>
    <w:rsid w:val="001F4CC9"/>
    <w:rsid w:val="002031FD"/>
    <w:rsid w:val="00205B1E"/>
    <w:rsid w:val="0021055B"/>
    <w:rsid w:val="00217975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C2738"/>
    <w:rsid w:val="002D0C7B"/>
    <w:rsid w:val="002D1F90"/>
    <w:rsid w:val="002D3DF3"/>
    <w:rsid w:val="002E5D74"/>
    <w:rsid w:val="002F00CE"/>
    <w:rsid w:val="003164A7"/>
    <w:rsid w:val="00331B67"/>
    <w:rsid w:val="00334ED1"/>
    <w:rsid w:val="00335752"/>
    <w:rsid w:val="00335870"/>
    <w:rsid w:val="003414A6"/>
    <w:rsid w:val="003470EE"/>
    <w:rsid w:val="00355FB1"/>
    <w:rsid w:val="00361002"/>
    <w:rsid w:val="003621A5"/>
    <w:rsid w:val="00374BAD"/>
    <w:rsid w:val="00377E4A"/>
    <w:rsid w:val="00381BE9"/>
    <w:rsid w:val="003A4632"/>
    <w:rsid w:val="003A779D"/>
    <w:rsid w:val="003B2273"/>
    <w:rsid w:val="003B3FB1"/>
    <w:rsid w:val="003C4473"/>
    <w:rsid w:val="003C7852"/>
    <w:rsid w:val="003C7924"/>
    <w:rsid w:val="003D77D6"/>
    <w:rsid w:val="003F3C92"/>
    <w:rsid w:val="00412B5F"/>
    <w:rsid w:val="00426149"/>
    <w:rsid w:val="004303EB"/>
    <w:rsid w:val="00434F91"/>
    <w:rsid w:val="00446379"/>
    <w:rsid w:val="00447D7B"/>
    <w:rsid w:val="0045096F"/>
    <w:rsid w:val="0045795C"/>
    <w:rsid w:val="00461FA0"/>
    <w:rsid w:val="004625B1"/>
    <w:rsid w:val="00462755"/>
    <w:rsid w:val="00465E30"/>
    <w:rsid w:val="0046659B"/>
    <w:rsid w:val="004878ED"/>
    <w:rsid w:val="004A38E5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4751F"/>
    <w:rsid w:val="00554AF1"/>
    <w:rsid w:val="005608B2"/>
    <w:rsid w:val="00581820"/>
    <w:rsid w:val="00586045"/>
    <w:rsid w:val="00592B1A"/>
    <w:rsid w:val="005A03FD"/>
    <w:rsid w:val="005A63E1"/>
    <w:rsid w:val="005C0DFF"/>
    <w:rsid w:val="005D2E3F"/>
    <w:rsid w:val="005D69C5"/>
    <w:rsid w:val="005F4F46"/>
    <w:rsid w:val="005F5137"/>
    <w:rsid w:val="00622060"/>
    <w:rsid w:val="00630946"/>
    <w:rsid w:val="006348E7"/>
    <w:rsid w:val="00636257"/>
    <w:rsid w:val="006418D6"/>
    <w:rsid w:val="0064246D"/>
    <w:rsid w:val="00652961"/>
    <w:rsid w:val="006551B2"/>
    <w:rsid w:val="0066391E"/>
    <w:rsid w:val="00675921"/>
    <w:rsid w:val="006762BF"/>
    <w:rsid w:val="00683DCE"/>
    <w:rsid w:val="0068639A"/>
    <w:rsid w:val="0068711D"/>
    <w:rsid w:val="006B5314"/>
    <w:rsid w:val="006C0F2B"/>
    <w:rsid w:val="006C5E85"/>
    <w:rsid w:val="006D0EB4"/>
    <w:rsid w:val="006D3644"/>
    <w:rsid w:val="006D616E"/>
    <w:rsid w:val="006E0C81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2408E"/>
    <w:rsid w:val="00745909"/>
    <w:rsid w:val="0075067B"/>
    <w:rsid w:val="0075595E"/>
    <w:rsid w:val="007578EC"/>
    <w:rsid w:val="00772D5A"/>
    <w:rsid w:val="00773CF1"/>
    <w:rsid w:val="0077512E"/>
    <w:rsid w:val="0078680B"/>
    <w:rsid w:val="00792F3D"/>
    <w:rsid w:val="00794ED3"/>
    <w:rsid w:val="00796B61"/>
    <w:rsid w:val="007A5051"/>
    <w:rsid w:val="007C0DE2"/>
    <w:rsid w:val="007C210D"/>
    <w:rsid w:val="007C3A05"/>
    <w:rsid w:val="007C4D8E"/>
    <w:rsid w:val="007D2D10"/>
    <w:rsid w:val="007D3BF2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56DD8"/>
    <w:rsid w:val="00875D22"/>
    <w:rsid w:val="00875E7E"/>
    <w:rsid w:val="0088088D"/>
    <w:rsid w:val="008811B9"/>
    <w:rsid w:val="00886DC9"/>
    <w:rsid w:val="008904A2"/>
    <w:rsid w:val="00892604"/>
    <w:rsid w:val="00892C08"/>
    <w:rsid w:val="008A7523"/>
    <w:rsid w:val="008B3E58"/>
    <w:rsid w:val="008C5141"/>
    <w:rsid w:val="008C56C4"/>
    <w:rsid w:val="008C59F4"/>
    <w:rsid w:val="008D2452"/>
    <w:rsid w:val="008D4F1A"/>
    <w:rsid w:val="008D7389"/>
    <w:rsid w:val="008D7E2C"/>
    <w:rsid w:val="008E32B0"/>
    <w:rsid w:val="008F025D"/>
    <w:rsid w:val="008F5D57"/>
    <w:rsid w:val="00900CE2"/>
    <w:rsid w:val="00914A23"/>
    <w:rsid w:val="00917A6D"/>
    <w:rsid w:val="00924E37"/>
    <w:rsid w:val="0093729B"/>
    <w:rsid w:val="009612D5"/>
    <w:rsid w:val="00961FA8"/>
    <w:rsid w:val="009671F7"/>
    <w:rsid w:val="00974D8C"/>
    <w:rsid w:val="00985972"/>
    <w:rsid w:val="009A2A3F"/>
    <w:rsid w:val="009A46BA"/>
    <w:rsid w:val="009A6620"/>
    <w:rsid w:val="009C4EFD"/>
    <w:rsid w:val="009D34CA"/>
    <w:rsid w:val="009E1FEB"/>
    <w:rsid w:val="009E6A24"/>
    <w:rsid w:val="009F4075"/>
    <w:rsid w:val="00A03873"/>
    <w:rsid w:val="00A04DFB"/>
    <w:rsid w:val="00A21D00"/>
    <w:rsid w:val="00A3432C"/>
    <w:rsid w:val="00A40DB5"/>
    <w:rsid w:val="00A63633"/>
    <w:rsid w:val="00A753D5"/>
    <w:rsid w:val="00A807BC"/>
    <w:rsid w:val="00AA4F3A"/>
    <w:rsid w:val="00AB0D40"/>
    <w:rsid w:val="00AB2551"/>
    <w:rsid w:val="00AB48AB"/>
    <w:rsid w:val="00AE160A"/>
    <w:rsid w:val="00AE5E43"/>
    <w:rsid w:val="00AF5C5E"/>
    <w:rsid w:val="00B105F2"/>
    <w:rsid w:val="00B23161"/>
    <w:rsid w:val="00B23C75"/>
    <w:rsid w:val="00B265FA"/>
    <w:rsid w:val="00B27666"/>
    <w:rsid w:val="00B512DC"/>
    <w:rsid w:val="00B6069A"/>
    <w:rsid w:val="00B64E61"/>
    <w:rsid w:val="00B958BC"/>
    <w:rsid w:val="00B95BFB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52E8F"/>
    <w:rsid w:val="00C7516C"/>
    <w:rsid w:val="00C803E3"/>
    <w:rsid w:val="00C85242"/>
    <w:rsid w:val="00C8613E"/>
    <w:rsid w:val="00CA6E94"/>
    <w:rsid w:val="00CB3CCD"/>
    <w:rsid w:val="00CB4422"/>
    <w:rsid w:val="00CC134E"/>
    <w:rsid w:val="00CC286D"/>
    <w:rsid w:val="00CC362E"/>
    <w:rsid w:val="00CD0A2A"/>
    <w:rsid w:val="00CD4324"/>
    <w:rsid w:val="00CE0307"/>
    <w:rsid w:val="00CF28EE"/>
    <w:rsid w:val="00CF370D"/>
    <w:rsid w:val="00CF5658"/>
    <w:rsid w:val="00D04C60"/>
    <w:rsid w:val="00D10314"/>
    <w:rsid w:val="00D2662E"/>
    <w:rsid w:val="00D274F2"/>
    <w:rsid w:val="00D322E0"/>
    <w:rsid w:val="00D4625C"/>
    <w:rsid w:val="00D52950"/>
    <w:rsid w:val="00D5391F"/>
    <w:rsid w:val="00D600BF"/>
    <w:rsid w:val="00D62FA0"/>
    <w:rsid w:val="00D63D2D"/>
    <w:rsid w:val="00D8721A"/>
    <w:rsid w:val="00D93A7E"/>
    <w:rsid w:val="00D95729"/>
    <w:rsid w:val="00DA17C3"/>
    <w:rsid w:val="00DB747B"/>
    <w:rsid w:val="00DB74B7"/>
    <w:rsid w:val="00DC019A"/>
    <w:rsid w:val="00E12C6C"/>
    <w:rsid w:val="00E132A3"/>
    <w:rsid w:val="00E15F01"/>
    <w:rsid w:val="00E22B27"/>
    <w:rsid w:val="00E243BB"/>
    <w:rsid w:val="00E32420"/>
    <w:rsid w:val="00E32459"/>
    <w:rsid w:val="00E32A7D"/>
    <w:rsid w:val="00E41370"/>
    <w:rsid w:val="00E530B5"/>
    <w:rsid w:val="00E625EF"/>
    <w:rsid w:val="00E62D82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C3ADA"/>
    <w:rsid w:val="00EE4B32"/>
    <w:rsid w:val="00EF32AB"/>
    <w:rsid w:val="00EF349D"/>
    <w:rsid w:val="00F15249"/>
    <w:rsid w:val="00F17922"/>
    <w:rsid w:val="00F23D3C"/>
    <w:rsid w:val="00F3421F"/>
    <w:rsid w:val="00F41EF1"/>
    <w:rsid w:val="00F542F1"/>
    <w:rsid w:val="00F6106A"/>
    <w:rsid w:val="00F660A2"/>
    <w:rsid w:val="00F72BE6"/>
    <w:rsid w:val="00F77175"/>
    <w:rsid w:val="00F816AF"/>
    <w:rsid w:val="00F82F83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ytackara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2158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304</cp:revision>
  <cp:lastPrinted>2023-04-24T11:43:00Z</cp:lastPrinted>
  <dcterms:created xsi:type="dcterms:W3CDTF">2019-03-22T09:18:00Z</dcterms:created>
  <dcterms:modified xsi:type="dcterms:W3CDTF">2023-04-24T11:45:00Z</dcterms:modified>
</cp:coreProperties>
</file>