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CC286D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24A415D9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471103E0" w14:textId="2271BE90" w:rsidR="00381BE9" w:rsidRPr="00381BE9" w:rsidRDefault="00381BE9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proofErr w:type="spellStart"/>
      <w:r w:rsidRPr="00381BE9">
        <w:rPr>
          <w:rFonts w:ascii="Cambria" w:hAnsi="Cambria" w:cs="Arial"/>
          <w:sz w:val="24"/>
          <w:szCs w:val="24"/>
        </w:rPr>
        <w:t>Altınok</w:t>
      </w:r>
      <w:proofErr w:type="spellEnd"/>
      <w:r w:rsidRPr="00381BE9">
        <w:rPr>
          <w:rFonts w:ascii="Cambria" w:hAnsi="Cambria" w:cs="Arial"/>
          <w:sz w:val="24"/>
          <w:szCs w:val="24"/>
        </w:rPr>
        <w:t xml:space="preserve">, A., </w:t>
      </w:r>
      <w:r w:rsidRPr="00381BE9">
        <w:rPr>
          <w:rFonts w:ascii="Cambria" w:hAnsi="Cambria" w:cs="Arial"/>
          <w:b/>
          <w:sz w:val="24"/>
          <w:szCs w:val="24"/>
        </w:rPr>
        <w:t>Karabay, A.</w:t>
      </w:r>
      <w:r w:rsidRPr="00381BE9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381BE9">
        <w:rPr>
          <w:rFonts w:ascii="Cambria" w:hAnsi="Cambria" w:cs="Arial"/>
          <w:sz w:val="24"/>
          <w:szCs w:val="24"/>
        </w:rPr>
        <w:t>Akyürek</w:t>
      </w:r>
      <w:proofErr w:type="spellEnd"/>
      <w:r w:rsidRPr="00381BE9">
        <w:rPr>
          <w:rFonts w:ascii="Cambria" w:hAnsi="Cambria" w:cs="Arial"/>
          <w:sz w:val="24"/>
          <w:szCs w:val="24"/>
        </w:rPr>
        <w:t>, E. G. 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 xml:space="preserve">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381BE9">
        <w:rPr>
          <w:rFonts w:ascii="Cambria" w:hAnsi="Cambria" w:cs="Arial"/>
          <w:i/>
          <w:sz w:val="24"/>
          <w:szCs w:val="24"/>
        </w:rPr>
        <w:t>European Journal of Nutrition</w:t>
      </w:r>
      <w:r>
        <w:rPr>
          <w:rFonts w:ascii="Cambria" w:hAnsi="Cambria" w:cs="Arial"/>
          <w:i/>
          <w:sz w:val="24"/>
          <w:szCs w:val="24"/>
        </w:rPr>
        <w:t>.</w:t>
      </w:r>
      <w:bookmarkStart w:id="0" w:name="_GoBack"/>
      <w:bookmarkEnd w:id="0"/>
    </w:p>
    <w:p w14:paraId="67B7E6A5" w14:textId="3F4EA4B2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proofErr w:type="spellStart"/>
      <w:r>
        <w:rPr>
          <w:rFonts w:ascii="Cambria" w:eastAsia="Calibri" w:hAnsi="Cambria" w:cs="Arial"/>
          <w:b/>
          <w:sz w:val="24"/>
          <w:szCs w:val="24"/>
        </w:rPr>
        <w:t>Karaba</w:t>
      </w:r>
      <w:proofErr w:type="spellEnd"/>
      <w:r>
        <w:rPr>
          <w:rFonts w:ascii="Cambria" w:eastAsia="Calibri" w:hAnsi="Cambria" w:cs="Arial"/>
          <w:b/>
          <w:sz w:val="24"/>
          <w:szCs w:val="24"/>
        </w:rPr>
        <w:t>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 xml:space="preserve">Poster </w:t>
      </w:r>
      <w:proofErr w:type="spellStart"/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Presentations</w:t>
      </w:r>
      <w:proofErr w:type="spellEnd"/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>nok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5F14575E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analyses (MVPA) in EEG/MEG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2018)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–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p w14:paraId="16087864" w14:textId="55796E6C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school: Attention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2017)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FE4336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–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467C" w14:textId="77777777" w:rsidR="00CC286D" w:rsidRDefault="00CC286D" w:rsidP="009E1FEB">
      <w:pPr>
        <w:spacing w:after="0" w:line="240" w:lineRule="auto"/>
      </w:pPr>
      <w:r>
        <w:separator/>
      </w:r>
    </w:p>
  </w:endnote>
  <w:endnote w:type="continuationSeparator" w:id="0">
    <w:p w14:paraId="487245F2" w14:textId="77777777" w:rsidR="00CC286D" w:rsidRDefault="00CC286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025844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9BE35" w14:textId="77777777" w:rsidR="00CC286D" w:rsidRDefault="00CC286D" w:rsidP="009E1FEB">
      <w:pPr>
        <w:spacing w:after="0" w:line="240" w:lineRule="auto"/>
      </w:pPr>
      <w:r>
        <w:separator/>
      </w:r>
    </w:p>
  </w:footnote>
  <w:footnote w:type="continuationSeparator" w:id="0">
    <w:p w14:paraId="6140B28C" w14:textId="77777777" w:rsidR="00CC286D" w:rsidRDefault="00CC286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qwFAMRZAggtAAAA"/>
  </w:docVars>
  <w:rsids>
    <w:rsidRoot w:val="00E32A7D"/>
    <w:rsid w:val="000106D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C7852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128</cp:revision>
  <cp:lastPrinted>2021-10-13T09:56:00Z</cp:lastPrinted>
  <dcterms:created xsi:type="dcterms:W3CDTF">2019-03-22T09:18:00Z</dcterms:created>
  <dcterms:modified xsi:type="dcterms:W3CDTF">2021-11-30T11:21:00Z</dcterms:modified>
</cp:coreProperties>
</file>