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гармонических колебаний,</w:t>
      </w:r>
      <w:r>
        <w:t xml:space="preserve"> </w:t>
      </w:r>
      <w:r>
        <w:t xml:space="preserve">а также построить фазовый портрет для трех случав.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Модель гармонических колебаний</w:t>
      </w:r>
    </w:p>
    <w:p>
      <w:pPr>
        <w:pStyle w:val="BodyText"/>
      </w:pPr>
      <w:r>
        <w:t xml:space="preserve">Вариант 7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</w:p>
    <w:p>
      <w:pPr>
        <w:pStyle w:val="FirstParagraph"/>
      </w:pPr>
      <w:r>
        <w:t xml:space="preserve">На интервале от 0 до 25 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γ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</w:t>
      </w:r>
      <w:r>
        <w:t xml:space="preserve"> </w:t>
      </w:r>
      <m:oMath>
        <m:r>
          <m:t>ω</m:t>
        </m:r>
      </m:oMath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p>
      <w:pPr>
        <w:pStyle w:val="BodyText"/>
      </w:pPr>
      <w:r>
        <w:t xml:space="preserve">Обозначим 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Интервал на котором будет решаться задача: от 0 до 25 (шаг 0.05).</w:t>
      </w:r>
      <w:r>
        <w:t xml:space="preserve"> </w:t>
      </w:r>
      <m:oMath>
        <m:r>
          <m:t>ω</m:t>
        </m:r>
      </m:oMath>
      <w:r>
        <w:t xml:space="preserve">– собственная частота колебаний: 7, 6, 1.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энергии: 0, 2, 5.</w:t>
      </w:r>
    </w:p>
    <w:p>
      <w:pPr>
        <w:pStyle w:val="BodyText"/>
      </w:pPr>
      <w:r>
        <w:t xml:space="preserve">Уравнение второго порядка можно представить в виде системы двух уравнений первого порядка (при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):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acc>
          <m:accPr>
            <m:chr m:val="̇"/>
          </m:accPr>
          <m:e>
            <m:r>
              <m:t>y</m:t>
            </m:r>
          </m:e>
        </m:acc>
        <m:r>
          <m:rPr>
            <m:sty m:val="p"/>
          </m:rPr>
          <m:t>=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</m:oMath>
      <w:r>
        <w:t xml:space="preserve">.</w:t>
      </w:r>
    </w:p>
    <w:p>
      <w:pPr>
        <w:pStyle w:val="BodyText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p>
      <w:pPr>
        <w:pStyle w:val="BodyText"/>
      </w:pPr>
      <w:r>
        <w:rPr>
          <w:bCs/>
          <w:b/>
        </w:rPr>
        <w:t xml:space="preserve">Построение модели</w:t>
      </w:r>
    </w:p>
    <w:p>
      <w:pPr>
        <w:pStyle w:val="BodyText"/>
      </w:pPr>
      <w:r>
        <w:t xml:space="preserve">Написали прогрмму на Python и получили три графика:</w:t>
      </w:r>
    </w:p>
    <w:p>
      <w:pPr>
        <w:pStyle w:val="BodyText"/>
      </w:pPr>
      <w:r>
        <w:t xml:space="preserve">#1. Колебания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import math</w:t>
      </w:r>
    </w:p>
    <w:p>
      <w:pPr>
        <w:pStyle w:val="BodyText"/>
      </w:pPr>
      <w:r>
        <w:t xml:space="preserve">import numpy as np</w:t>
      </w:r>
    </w:p>
    <w:p>
      <w:pPr>
        <w:pStyle w:val="BodyText"/>
      </w:pPr>
      <w:r>
        <w:t xml:space="preserve">from scipy.integrate import odeint</w:t>
      </w:r>
    </w:p>
    <w:p>
      <w:pPr>
        <w:pStyle w:val="BodyText"/>
      </w:pPr>
      <w:r>
        <w:t xml:space="preserve">import matplotlib.pyplot as plt</w:t>
      </w:r>
    </w:p>
    <w:p>
      <w:pPr>
        <w:pStyle w:val="BodyText"/>
      </w:pPr>
      <w:r>
        <w:t xml:space="preserve">#w - частота</w:t>
      </w:r>
    </w:p>
    <w:p>
      <w:pPr>
        <w:pStyle w:val="BodyText"/>
      </w:pPr>
      <w:r>
        <w:t xml:space="preserve">w_1 = 7.0</w:t>
      </w:r>
    </w:p>
    <w:p>
      <w:pPr>
        <w:pStyle w:val="BodyText"/>
      </w:pPr>
      <w:r>
        <w:t xml:space="preserve">w_2 = 6.0</w:t>
      </w:r>
    </w:p>
    <w:p>
      <w:pPr>
        <w:pStyle w:val="BodyText"/>
      </w:pPr>
      <w:r>
        <w:t xml:space="preserve">w_3 = 1.0</w:t>
      </w:r>
    </w:p>
    <w:p>
      <w:pPr>
        <w:pStyle w:val="BodyText"/>
      </w:pPr>
      <w:r>
        <w:t xml:space="preserve">#g - затухание</w:t>
      </w:r>
    </w:p>
    <w:p>
      <w:pPr>
        <w:pStyle w:val="BodyText"/>
      </w:pPr>
      <w:r>
        <w:t xml:space="preserve">g_1 = 0.0</w:t>
      </w:r>
    </w:p>
    <w:p>
      <w:pPr>
        <w:pStyle w:val="BodyText"/>
      </w:pPr>
      <w:r>
        <w:t xml:space="preserve">g_2 = 2.0</w:t>
      </w:r>
    </w:p>
    <w:p>
      <w:pPr>
        <w:pStyle w:val="BodyText"/>
      </w:pPr>
      <w:r>
        <w:t xml:space="preserve">g_3 = 5.0</w:t>
      </w:r>
    </w:p>
    <w:p>
      <w:pPr>
        <w:pStyle w:val="BodyText"/>
      </w:pPr>
      <w:r>
        <w:t xml:space="preserve">#Правая часть уравнения fun(t)</w:t>
      </w:r>
    </w:p>
    <w:p>
      <w:pPr>
        <w:pStyle w:val="BodyText"/>
      </w:pPr>
      <w:r>
        <w:t xml:space="preserve">def F(t):</w:t>
      </w:r>
      <w:r>
        <w:t xml:space="preserve"> </w:t>
      </w:r>
      <w:r>
        <w:t xml:space="preserve">f = 0</w:t>
      </w:r>
      <w:r>
        <w:t xml:space="preserve"> </w:t>
      </w:r>
      <w:r>
        <w:t xml:space="preserve">return f</w:t>
      </w:r>
    </w:p>
    <w:p>
      <w:pPr>
        <w:pStyle w:val="BodyText"/>
      </w:pPr>
      <w:r>
        <w:t xml:space="preserve">def FF(t):</w:t>
      </w:r>
      <w:r>
        <w:t xml:space="preserve"> </w:t>
      </w:r>
      <w:r>
        <w:t xml:space="preserve">f = np.cos(3*t)</w:t>
      </w:r>
      <w:r>
        <w:t xml:space="preserve"> </w:t>
      </w:r>
      <w:r>
        <w:t xml:space="preserve">return f</w:t>
      </w:r>
    </w:p>
    <w:p>
      <w:pPr>
        <w:pStyle w:val="BodyText"/>
      </w:pPr>
      <w:r>
        <w:t xml:space="preserve">#Вектор начальных условий x(t0) = x0</w:t>
      </w:r>
    </w:p>
    <w:p>
      <w:pPr>
        <w:pStyle w:val="BodyText"/>
      </w:pPr>
      <w:r>
        <w:t xml:space="preserve">x0 = np.array([-1.0, -1.0])</w:t>
      </w:r>
    </w:p>
    <w:p>
      <w:pPr>
        <w:pStyle w:val="BodyText"/>
      </w:pPr>
      <w:r>
        <w:t xml:space="preserve">#Интервал на котором будет решаться задача</w:t>
      </w:r>
    </w:p>
    <w:p>
      <w:pPr>
        <w:pStyle w:val="BodyText"/>
      </w:pPr>
      <w:r>
        <w:t xml:space="preserve">t = np.arange(0, 25, 0.05)</w:t>
      </w:r>
    </w:p>
    <w:p>
      <w:pPr>
        <w:pStyle w:val="BodyText"/>
      </w:pPr>
      <w:r>
        <w:t xml:space="preserve">#Преображаем уравнение второго порядка в уравнение первого порядка</w:t>
      </w:r>
    </w:p>
    <w:p>
      <w:pPr>
        <w:pStyle w:val="BodyText"/>
      </w:pPr>
      <w:r>
        <w:t xml:space="preserve">def y_1(x, t):</w:t>
      </w:r>
      <w:r>
        <w:t xml:space="preserve"> </w:t>
      </w:r>
      <w:r>
        <w:t xml:space="preserve">dx_1_1 = x[1]</w:t>
      </w:r>
      <w:r>
        <w:t xml:space="preserve"> </w:t>
      </w:r>
      <w:r>
        <w:t xml:space="preserve">dx_1_2 = -w_1</w:t>
      </w:r>
      <w:r>
        <w:rPr>
          <w:iCs/>
          <w:i/>
        </w:rPr>
        <w:t xml:space="preserve">x[0] - g_1</w:t>
      </w:r>
      <w:r>
        <w:t xml:space="preserve">x[1] - F(t)</w:t>
      </w:r>
      <w:r>
        <w:t xml:space="preserve"> </w:t>
      </w:r>
      <w:r>
        <w:t xml:space="preserve">return dx_1_1, dx_1_2</w:t>
      </w:r>
    </w:p>
    <w:p>
      <w:pPr>
        <w:pStyle w:val="BodyText"/>
      </w:pPr>
      <w:r>
        <w:t xml:space="preserve">def y_2(x, t):</w:t>
      </w:r>
      <w:r>
        <w:t xml:space="preserve"> </w:t>
      </w:r>
      <w:r>
        <w:t xml:space="preserve">dx_2_1 = x[1]</w:t>
      </w:r>
      <w:r>
        <w:t xml:space="preserve"> </w:t>
      </w:r>
      <w:r>
        <w:t xml:space="preserve">dx_2_2 = -w_2</w:t>
      </w:r>
      <w:r>
        <w:rPr>
          <w:iCs/>
          <w:i/>
        </w:rPr>
        <w:t xml:space="preserve">x[0] - g_2</w:t>
      </w:r>
      <w:r>
        <w:t xml:space="preserve">x[1] - F(t)</w:t>
      </w:r>
      <w:r>
        <w:t xml:space="preserve"> </w:t>
      </w:r>
      <w:r>
        <w:t xml:space="preserve">return dx_2_1, dx_2_2</w:t>
      </w:r>
    </w:p>
    <w:p>
      <w:pPr>
        <w:pStyle w:val="BodyText"/>
      </w:pPr>
      <w:r>
        <w:t xml:space="preserve">def y_3(x, t):</w:t>
      </w:r>
      <w:r>
        <w:t xml:space="preserve"> </w:t>
      </w:r>
      <w:r>
        <w:t xml:space="preserve">dx_3_1 = x[1]</w:t>
      </w:r>
      <w:r>
        <w:t xml:space="preserve"> </w:t>
      </w:r>
      <w:r>
        <w:t xml:space="preserve">dx_3_2 = -w_3</w:t>
      </w:r>
      <w:r>
        <w:rPr>
          <w:iCs/>
          <w:i/>
        </w:rPr>
        <w:t xml:space="preserve">x[0] - g_3</w:t>
      </w:r>
      <w:r>
        <w:t xml:space="preserve">x[1] - FF(t)</w:t>
      </w:r>
      <w:r>
        <w:t xml:space="preserve"> </w:t>
      </w:r>
      <w:r>
        <w:t xml:space="preserve">return dx_3_1, dx_3_2</w:t>
      </w:r>
    </w:p>
    <w:p>
      <w:pPr>
        <w:pStyle w:val="BodyText"/>
      </w:pPr>
      <w:r>
        <w:t xml:space="preserve">#Решаем дифференциальные уравнения с начальным условием x(t0) = x0 на интервале t с правой частью,</w:t>
      </w:r>
    </w:p>
    <w:p>
      <w:pPr>
        <w:pStyle w:val="BodyText"/>
      </w:pPr>
      <w:r>
        <w:t xml:space="preserve">#заданной y и записываем решение в матрицу x</w:t>
      </w:r>
    </w:p>
    <w:p>
      <w:pPr>
        <w:pStyle w:val="BodyText"/>
      </w:pPr>
      <w:r>
        <w:t xml:space="preserve">X_1 = odeint(y_1, x0, t)</w:t>
      </w:r>
    </w:p>
    <w:p>
      <w:pPr>
        <w:pStyle w:val="BodyText"/>
      </w:pPr>
      <w:r>
        <w:t xml:space="preserve">X_2 = odeint(y_2, x0, t)</w:t>
      </w:r>
    </w:p>
    <w:p>
      <w:pPr>
        <w:pStyle w:val="BodyText"/>
      </w:pPr>
      <w:r>
        <w:t xml:space="preserve">X_3 = odeint(y_3, x0, t)</w:t>
      </w:r>
    </w:p>
    <w:p>
      <w:pPr>
        <w:pStyle w:val="BodyText"/>
      </w:pPr>
      <w:r>
        <w:t xml:space="preserve">#Переписываем отдельно x в y_1, x’ в y_2</w:t>
      </w:r>
    </w:p>
    <w:p>
      <w:pPr>
        <w:pStyle w:val="BodyText"/>
      </w:pPr>
      <w:r>
        <w:t xml:space="preserve">y_1_1 = X_1[:, 0]</w:t>
      </w:r>
    </w:p>
    <w:p>
      <w:pPr>
        <w:pStyle w:val="BodyText"/>
      </w:pPr>
      <w:r>
        <w:t xml:space="preserve">y_1_2 = X_1[:, 1]</w:t>
      </w:r>
    </w:p>
    <w:p>
      <w:pPr>
        <w:pStyle w:val="BodyText"/>
      </w:pPr>
      <w:r>
        <w:t xml:space="preserve">y_2_1 = X_2[:, 0]</w:t>
      </w:r>
    </w:p>
    <w:p>
      <w:pPr>
        <w:pStyle w:val="BodyText"/>
      </w:pPr>
      <w:r>
        <w:t xml:space="preserve">y_2_2 = X_2[:, 1]</w:t>
      </w:r>
    </w:p>
    <w:p>
      <w:pPr>
        <w:pStyle w:val="BodyText"/>
      </w:pPr>
      <w:r>
        <w:t xml:space="preserve">y_3_1 = X_3[:, 0]</w:t>
      </w:r>
    </w:p>
    <w:p>
      <w:pPr>
        <w:pStyle w:val="BodyText"/>
      </w:pPr>
      <w:r>
        <w:t xml:space="preserve">y_3_2 = X_3[:, 1]</w:t>
      </w:r>
    </w:p>
    <w:p>
      <w:pPr>
        <w:pStyle w:val="BodyText"/>
      </w:pPr>
      <w:r>
        <w:t xml:space="preserve">plt.plot(y_1_1, y_1_2)</w:t>
      </w:r>
    </w:p>
    <w:p>
      <w:pPr>
        <w:pStyle w:val="BodyText"/>
      </w:pPr>
      <w:r>
        <w:rPr>
          <w:bCs/>
          <w:b/>
        </w:rPr>
        <w:t xml:space="preserve">Фазовый портрет</w:t>
      </w:r>
    </w:p>
    <w:p>
      <w:pPr>
        <w:pStyle w:val="BodyText"/>
      </w:pPr>
      <w:r>
        <w:t xml:space="preserve">В итоге получили график для первого случая (см.Рис. 1).</w:t>
      </w:r>
    </w:p>
    <w:p>
      <w:pPr>
        <w:pStyle w:val="CaptionedFigure"/>
      </w:pPr>
      <w:bookmarkStart w:id="23" w:name="fig:001"/>
      <w:r>
        <w:drawing>
          <wp:inline>
            <wp:extent cx="3570972" cy="2454442"/>
            <wp:effectExtent b="0" l="0" r="0" t="0"/>
            <wp:docPr descr="Figure 1: Колебания гармонического осциллятора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Колебания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В итоге получили график для второго случая (см.Рис. 2).</w:t>
      </w:r>
    </w:p>
    <w:p>
      <w:pPr>
        <w:pStyle w:val="CaptionedFigure"/>
      </w:pPr>
      <w:bookmarkStart w:id="25" w:name="fig:002"/>
      <w:r>
        <w:drawing>
          <wp:inline>
            <wp:extent cx="3657600" cy="2483317"/>
            <wp:effectExtent b="0" l="0" r="0" t="0"/>
            <wp:docPr descr="Figure 2: Колебания гармонического осциллятора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Колебания гармонического осциллятора c затуханием и без действий внешней силы</w:t>
      </w:r>
    </w:p>
    <w:p>
      <w:pPr>
        <w:pStyle w:val="BodyText"/>
      </w:pPr>
      <w:r>
        <w:t xml:space="preserve">В итоге получили график для третьего случая (см.Рис. 3).</w:t>
      </w:r>
    </w:p>
    <w:p>
      <w:pPr>
        <w:pStyle w:val="CaptionedFigure"/>
      </w:pPr>
      <w:bookmarkStart w:id="27" w:name="fig:003"/>
      <w:r>
        <w:drawing>
          <wp:inline>
            <wp:extent cx="3753852" cy="2473692"/>
            <wp:effectExtent b="0" l="0" r="0" t="0"/>
            <wp:docPr descr="Figure 3: Колебания гармонического осциллятора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Колебания гармонического осциллятора c затуханием и под действием внешней силы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№4 мы изучили модель гармонических колебаний,</w:t>
      </w:r>
      <w:r>
        <w:t xml:space="preserve"> </w:t>
      </w:r>
      <w:r>
        <w:t xml:space="preserve">а также построить фазовый портрет для трех случав.</w:t>
      </w:r>
    </w:p>
    <w:bookmarkEnd w:id="29"/>
    <w:bookmarkStart w:id="30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numPr>
          <w:ilvl w:val="0"/>
          <w:numId w:val="1002"/>
        </w:numPr>
        <w:pStyle w:val="Compact"/>
      </w:pPr>
      <w:r>
        <w:t xml:space="preserve">Запишите простейшую модель гармонических колебаний*</w:t>
      </w:r>
    </w:p>
    <w:p>
      <w:pPr>
        <w:pStyle w:val="FirstParagraph"/>
      </w:pPr>
      <w:r>
        <w:t xml:space="preserve">Простейшим видом колебательного процесса являются простые гармонические колебания, которые описываются уравнением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ω</m:t>
        </m:r>
        <m:r>
          <m:t>t</m:t>
        </m:r>
        <m:r>
          <m:rPr>
            <m:sty m:val="p"/>
          </m:rPr>
          <m:t>+</m:t>
        </m:r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Дайте определение осциллятора*</w:t>
      </w:r>
    </w:p>
    <w:p>
      <w:pPr>
        <w:pStyle w:val="FirstParagraph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4"/>
        </w:numPr>
        <w:pStyle w:val="Compact"/>
      </w:pPr>
      <w:r>
        <w:t xml:space="preserve">Запишите модель математического маятника*</w:t>
      </w:r>
    </w:p>
    <w:p>
      <w:pPr>
        <w:pStyle w:val="FirstParagraph"/>
      </w:pPr>
      <w:r>
        <w:t xml:space="preserve">Уравнение динамики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В случае малых колебаний полагают</w:t>
      </w:r>
      <w:r>
        <w:t xml:space="preserve"> </w:t>
      </w:r>
      <m:oMath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t>α</m:t>
        </m:r>
      </m:oMath>
      <w:r>
        <w:t xml:space="preserve">. В результате возникает линейное дифференциальное уравнение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Запишите алгоритм перехода от дифференциального уравнения второго порядка к двум дифференциальным уравнениям первого порядка*</w:t>
      </w:r>
    </w:p>
    <w:p>
      <w:pPr>
        <w:pStyle w:val="FirstParagraph"/>
      </w:pPr>
      <w:r>
        <w:t xml:space="preserve">Пусть у нас есть дифференциальное уравнение 2-го порядка: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γ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Для перехода к системе уравнений первого порядка сделаем замену (это метод Ранге-Кутты):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Тогда получим систему уравнений: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acc>
          <m:accPr>
            <m:chr m:val="̇"/>
          </m:accPr>
          <m:e>
            <m:r>
              <m:t>y</m:t>
            </m:r>
          </m:e>
        </m:acc>
        <m:r>
          <m:rPr>
            <m:sty m:val="p"/>
          </m:rPr>
          <m:t>=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Что такое фазовый портрет и фазовая траектория?*</w:t>
      </w:r>
    </w:p>
    <w:p>
      <w:pPr>
        <w:pStyle w:val="FirstParagraph"/>
      </w:pPr>
      <w:r>
        <w:t xml:space="preserve">Фазовый портрет — это то, как величины, описывающие состояние системы (= динамические переменные), зависят друг от друга.</w:t>
      </w:r>
    </w:p>
    <w:p>
      <w:pPr>
        <w:pStyle w:val="BodyText"/>
      </w:pP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</w:t>
      </w:r>
      <w:r>
        <w:t xml:space="preserve"> </w:t>
      </w:r>
      <w:r>
        <w:t xml:space="preserve">в течение всего времени эволюции.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Шапошникова Айталина Степановна НПИбд-02-18</dc:creator>
  <dc:language>ru-RU</dc:language>
  <cp:keywords/>
  <dcterms:created xsi:type="dcterms:W3CDTF">2021-03-03T19:17:34Z</dcterms:created>
  <dcterms:modified xsi:type="dcterms:W3CDTF">2021-03-03T19:17:34Z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