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90.jpg" ContentType="image/jpeg"/>
  <Override PartName="/word/media/rId94.jpg" ContentType="image/jpeg"/>
  <Override PartName="/word/media/rId26.jpg" ContentType="image/jpeg"/>
  <Override PartName="/word/media/rId98.jpg" ContentType="image/jpeg"/>
  <Override PartName="/word/media/rId102.jpg" ContentType="image/jpeg"/>
  <Override PartName="/word/media/rId107.jpg" ContentType="image/jpeg"/>
  <Override PartName="/word/media/rId111.jpg" ContentType="image/jpeg"/>
  <Override PartName="/word/media/rId115.jpg" ContentType="image/jpeg"/>
  <Override PartName="/word/media/rId119.jpg" ContentType="image/jpeg"/>
  <Override PartName="/word/media/rId123.jpg" ContentType="image/jpeg"/>
  <Override PartName="/word/media/rId127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№9</w:t>
      </w:r>
    </w:p>
    <w:p>
      <w:pPr>
        <w:pStyle w:val="Subtitle"/>
      </w:pPr>
      <w:r>
        <w:t xml:space="preserve">Архитектура компьютера НММбд-03-24</w:t>
      </w:r>
    </w:p>
    <w:p>
      <w:pPr>
        <w:pStyle w:val="Author"/>
      </w:pPr>
      <w:r>
        <w:t xml:space="preserve">Туева Анастасия 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Преобразуйте программу из лабораторной работы №8 (Задание №1 для самостоятельной работы), реализовав вычисление значения функции f(x) как подпрограмму.</w:t>
      </w:r>
    </w:p>
    <w:p>
      <w:pPr>
        <w:pStyle w:val="Compact"/>
        <w:numPr>
          <w:ilvl w:val="0"/>
          <w:numId w:val="1001"/>
        </w:numPr>
      </w:pPr>
      <w:r>
        <w:t xml:space="preserve">В листинге 9.3 приведена программа вычисления выражения (3 + 2) ∗ 4 + 5. При запуске данная программа дает неверный результат. Проверьте это. С помощью отладчика GDB, анализируя изменения значений регистров, определите ошибку и исправьте ее.</w:t>
      </w:r>
    </w:p>
    <w:bookmarkEnd w:id="21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для программ лабораторной работы №9, переходим в него и создаём файл lab09-1.asm. (рис. 1).</w:t>
      </w:r>
    </w:p>
    <w:bookmarkStart w:id="25" w:name="fig:001"/>
    <w:p>
      <w:pPr>
        <w:pStyle w:val="CaptionedFigure"/>
      </w:pPr>
      <w:r>
        <w:drawing>
          <wp:inline>
            <wp:extent cx="3733800" cy="639654"/>
            <wp:effectExtent b="0" l="0" r="0" t="0"/>
            <wp:docPr descr="Рис. 1: Создание файл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</w:p>
    <w:bookmarkEnd w:id="25"/>
    <w:p>
      <w:pPr>
        <w:pStyle w:val="BodyText"/>
      </w:pPr>
      <w:r>
        <w:t xml:space="preserve">В качестве примера рассмотрим программу вычисления арифметического выражения f(x) = 2x + 7 с помощью подпрограммы _calcul. В данном примере x вводится с клавиатуры, а само выражение вычисляется в подпрограмме. Вводим в файл lab09-1.asm текст программы из листинга 9.1. (рис. 2).</w:t>
      </w:r>
    </w:p>
    <w:bookmarkStart w:id="29" w:name="fig:002"/>
    <w:p>
      <w:pPr>
        <w:pStyle w:val="CaptionedFigure"/>
      </w:pPr>
      <w:r>
        <w:drawing>
          <wp:inline>
            <wp:extent cx="3733800" cy="7417649"/>
            <wp:effectExtent b="0" l="0" r="0" t="0"/>
            <wp:docPr descr="Рис. 2: Редактирование файл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17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</w:t>
      </w:r>
    </w:p>
    <w:bookmarkEnd w:id="29"/>
    <w:p>
      <w:pPr>
        <w:pStyle w:val="BodyText"/>
      </w:pPr>
      <w:r>
        <w:t xml:space="preserve">Создаем исполняемый файл программы и запускаем его (рис. 3).</w:t>
      </w:r>
    </w:p>
    <w:bookmarkStart w:id="33" w:name="fig:003"/>
    <w:p>
      <w:pPr>
        <w:pStyle w:val="CaptionedFigure"/>
      </w:pPr>
      <w:r>
        <w:drawing>
          <wp:inline>
            <wp:extent cx="3733800" cy="641043"/>
            <wp:effectExtent b="0" l="0" r="0" t="0"/>
            <wp:docPr descr="Рис. 3: Запуск исполняемого файл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1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исполняемого файла</w:t>
      </w:r>
    </w:p>
    <w:bookmarkEnd w:id="33"/>
    <w:p>
      <w:pPr>
        <w:pStyle w:val="BodyText"/>
      </w:pPr>
      <w:r>
        <w:t xml:space="preserve">Изменим текст программы, добавив подпрограмму _subcalcul в подпрограмму _calcul, для вычисления выражения f(g(x)), где x вводится с клавиатуры, f(x) = 2x + 7, g(x) = 3x - 1. (рис. 4).</w:t>
      </w:r>
    </w:p>
    <w:bookmarkStart w:id="37" w:name="fig:004"/>
    <w:p>
      <w:pPr>
        <w:pStyle w:val="CaptionedFigure"/>
      </w:pPr>
      <w:r>
        <w:drawing>
          <wp:inline>
            <wp:extent cx="3327400" cy="6527800"/>
            <wp:effectExtent b="0" l="0" r="0" t="0"/>
            <wp:docPr descr="Рис. 4: Редактирование файла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652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bookmarkEnd w:id="37"/>
    <w:p>
      <w:pPr>
        <w:pStyle w:val="BodyText"/>
      </w:pPr>
      <w:r>
        <w:t xml:space="preserve">Создаем новый исполняемый файл программы и запускаем его (рис. 5).</w:t>
      </w:r>
    </w:p>
    <w:bookmarkStart w:id="41" w:name="fig:005"/>
    <w:p>
      <w:pPr>
        <w:pStyle w:val="CaptionedFigure"/>
      </w:pPr>
      <w:r>
        <w:drawing>
          <wp:inline>
            <wp:extent cx="3733800" cy="862947"/>
            <wp:effectExtent b="0" l="0" r="0" t="0"/>
            <wp:docPr descr="Рис. 5: Запуск исполняемого файла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2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bookmarkEnd w:id="41"/>
    <w:p>
      <w:pPr>
        <w:pStyle w:val="BodyText"/>
      </w:pPr>
      <w:r>
        <w:t xml:space="preserve">Создаем файл lab09-2.asm. Вводим в него программу из листинга 9.2. (рис. 6).</w:t>
      </w:r>
    </w:p>
    <w:bookmarkStart w:id="45" w:name="fig:006"/>
    <w:p>
      <w:pPr>
        <w:pStyle w:val="CaptionedFigure"/>
      </w:pPr>
      <w:r>
        <w:drawing>
          <wp:inline>
            <wp:extent cx="3467100" cy="6350000"/>
            <wp:effectExtent b="0" l="0" r="0" t="0"/>
            <wp:docPr descr="Рис. 6: Редактирование файла lab09-2.asm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 lab09-2.asm</w:t>
      </w:r>
    </w:p>
    <w:bookmarkEnd w:id="45"/>
    <w:p>
      <w:pPr>
        <w:pStyle w:val="BodyText"/>
      </w:pPr>
      <w:r>
        <w:t xml:space="preserve">Транслируем текст программы с ключом</w:t>
      </w:r>
      <w:r>
        <w:t xml:space="preserve"> </w:t>
      </w:r>
      <w:r>
        <w:t xml:space="preserve">‘-g’</w:t>
      </w:r>
      <w:r>
        <w:t xml:space="preserve">. Загружаем исполняемый файл в gdb (рис. 7).</w:t>
      </w:r>
    </w:p>
    <w:bookmarkStart w:id="49" w:name="fig:007"/>
    <w:p>
      <w:pPr>
        <w:pStyle w:val="CaptionedFigure"/>
      </w:pPr>
      <w:r>
        <w:drawing>
          <wp:inline>
            <wp:extent cx="3733800" cy="2836853"/>
            <wp:effectExtent b="0" l="0" r="0" t="0"/>
            <wp:docPr descr="Рис. 7: Исполнение программы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6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Исполнение программы</w:t>
      </w:r>
    </w:p>
    <w:bookmarkEnd w:id="49"/>
    <w:p>
      <w:pPr>
        <w:pStyle w:val="BodyText"/>
      </w:pPr>
      <w:r>
        <w:t xml:space="preserve">Для более подробного анализа программы установим брейкпойнт на метку _start, с которой начинается выполнение любой ассемблерной программы, и запустим её. (рис. 8).</w:t>
      </w:r>
    </w:p>
    <w:bookmarkStart w:id="53" w:name="fig:008"/>
    <w:p>
      <w:pPr>
        <w:pStyle w:val="CaptionedFigure"/>
      </w:pPr>
      <w:r>
        <w:drawing>
          <wp:inline>
            <wp:extent cx="3733800" cy="1024964"/>
            <wp:effectExtent b="0" l="0" r="0" t="0"/>
            <wp:docPr descr="Рис. 8: Исполнение програмы брейкпойнт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4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Исполнение програмы брейкпойнт</w:t>
      </w:r>
    </w:p>
    <w:bookmarkEnd w:id="53"/>
    <w:p>
      <w:pPr>
        <w:pStyle w:val="BodyText"/>
      </w:pPr>
      <w:r>
        <w:t xml:space="preserve">Посмотрим дисассимилированный код программы с помощью команды disassemble начиная с метки _start. (рис. 9).</w:t>
      </w:r>
    </w:p>
    <w:bookmarkStart w:id="57" w:name="fig:009"/>
    <w:p>
      <w:pPr>
        <w:pStyle w:val="CaptionedFigure"/>
      </w:pPr>
      <w:r>
        <w:drawing>
          <wp:inline>
            <wp:extent cx="3733800" cy="3034220"/>
            <wp:effectExtent b="0" l="0" r="0" t="0"/>
            <wp:docPr descr="Рис. 9: Просмотр дисассимилированного кода программы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4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Просмотр дисассимилированного кода программы</w:t>
      </w:r>
    </w:p>
    <w:bookmarkEnd w:id="57"/>
    <w:p>
      <w:pPr>
        <w:pStyle w:val="BodyText"/>
      </w:pPr>
      <w:r>
        <w:t xml:space="preserve">Переключимся на отображение команд с Intel’овским синтаксисом, введя команду set disassembly-flavor intel. Различия между синтаксисом ATT и Intel заключаются в порядке операндов(ATT - Операнд источника указан первым. Intel - Операнд назначения указан первым), их размере (ATT - pазмер операндов указывается явно с помощью суффиксов, непосредственные операнды предваряются символом $; Intel - Размер операндов неявно определяется контекстом, как ax, eax, непосредственные операнды пишутся напрямую), именах регистров(ATT - имена регистров предваряются символом %, Intel - имена регистров пишутся без префиксов). (рис. 10).</w:t>
      </w:r>
    </w:p>
    <w:bookmarkStart w:id="61" w:name="fig:010"/>
    <w:p>
      <w:pPr>
        <w:pStyle w:val="CaptionedFigure"/>
      </w:pPr>
      <w:r>
        <w:drawing>
          <wp:inline>
            <wp:extent cx="3733800" cy="3634592"/>
            <wp:effectExtent b="0" l="0" r="0" t="0"/>
            <wp:docPr descr="Рис. 10: Просмотр дисассимилированного кода программы с синтаксисом Intel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4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Просмотр дисассимилированного кода программы с синтаксисом Intel</w:t>
      </w:r>
    </w:p>
    <w:bookmarkEnd w:id="61"/>
    <w:p>
      <w:pPr>
        <w:pStyle w:val="BodyText"/>
      </w:pPr>
      <w:r>
        <w:t xml:space="preserve">Включим режим псевдографики для более удобного анализа программы. (рис. 11).</w:t>
      </w:r>
    </w:p>
    <w:bookmarkStart w:id="65" w:name="fig:011"/>
    <w:p>
      <w:pPr>
        <w:pStyle w:val="CaptionedFigure"/>
      </w:pPr>
      <w:r>
        <w:drawing>
          <wp:inline>
            <wp:extent cx="3733800" cy="3459349"/>
            <wp:effectExtent b="0" l="0" r="0" t="0"/>
            <wp:docPr descr="Рис. 11: Переход в режим псевдографики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9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Переход в режим псевдографики</w:t>
      </w:r>
    </w:p>
    <w:bookmarkEnd w:id="65"/>
    <w:p>
      <w:pPr>
        <w:pStyle w:val="BodyText"/>
      </w:pPr>
      <w:r>
        <w:t xml:space="preserve">Посмотрим наличие меток и добавим еще одну метку на предпоследнюю инструкцию. (рис. 12).</w:t>
      </w:r>
    </w:p>
    <w:bookmarkStart w:id="69" w:name="fig:012"/>
    <w:p>
      <w:pPr>
        <w:pStyle w:val="CaptionedFigure"/>
      </w:pPr>
      <w:r>
        <w:drawing>
          <wp:inline>
            <wp:extent cx="3733800" cy="3667715"/>
            <wp:effectExtent b="0" l="0" r="0" t="0"/>
            <wp:docPr descr="Рис. 12: Наличие меток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7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Наличие меток</w:t>
      </w:r>
    </w:p>
    <w:bookmarkEnd w:id="69"/>
    <w:p>
      <w:pPr>
        <w:pStyle w:val="BodyText"/>
      </w:pPr>
      <w:r>
        <w:t xml:space="preserve">С помощью команды посмотрим значение переменной msg1. (рис. 13).</w:t>
      </w:r>
    </w:p>
    <w:bookmarkStart w:id="73" w:name="fig:013"/>
    <w:p>
      <w:pPr>
        <w:pStyle w:val="CaptionedFigure"/>
      </w:pPr>
      <w:r>
        <w:drawing>
          <wp:inline>
            <wp:extent cx="3733800" cy="1593695"/>
            <wp:effectExtent b="0" l="0" r="0" t="0"/>
            <wp:docPr descr="Рис. 13: Значение переменной msg1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3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Значение переменной msg1</w:t>
      </w:r>
    </w:p>
    <w:bookmarkEnd w:id="73"/>
    <w:p>
      <w:pPr>
        <w:pStyle w:val="BodyText"/>
      </w:pPr>
      <w:r>
        <w:t xml:space="preserve">Посмотрим значение второй переменной msg2. (рис. 14).</w:t>
      </w:r>
    </w:p>
    <w:bookmarkStart w:id="77" w:name="fig:014"/>
    <w:p>
      <w:pPr>
        <w:pStyle w:val="CaptionedFigure"/>
      </w:pPr>
      <w:r>
        <w:drawing>
          <wp:inline>
            <wp:extent cx="3733800" cy="752624"/>
            <wp:effectExtent b="0" l="0" r="0" t="0"/>
            <wp:docPr descr="Рис. 14: Значение переменной msg2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2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Значение переменной msg2</w:t>
      </w:r>
    </w:p>
    <w:bookmarkEnd w:id="77"/>
    <w:p>
      <w:pPr>
        <w:pStyle w:val="BodyText"/>
      </w:pPr>
      <w:r>
        <w:t xml:space="preserve">С помощью команды set изменим значение переменной msg1. (рис. 15).</w:t>
      </w:r>
    </w:p>
    <w:bookmarkStart w:id="81" w:name="fig:015"/>
    <w:p>
      <w:pPr>
        <w:pStyle w:val="CaptionedFigure"/>
      </w:pPr>
      <w:r>
        <w:drawing>
          <wp:inline>
            <wp:extent cx="3733800" cy="1353502"/>
            <wp:effectExtent b="0" l="0" r="0" t="0"/>
            <wp:docPr descr="Рис. 15: Изменение значения переменной msg1" title="" id="79" name="Picture"/>
            <a:graphic>
              <a:graphicData uri="http://schemas.openxmlformats.org/drawingml/2006/picture">
                <pic:pic>
                  <pic:nvPicPr>
                    <pic:cNvPr descr="image/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3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значения переменной msg1</w:t>
      </w:r>
    </w:p>
    <w:bookmarkEnd w:id="81"/>
    <w:p>
      <w:pPr>
        <w:pStyle w:val="BodyText"/>
      </w:pPr>
      <w:r>
        <w:t xml:space="preserve">Изменим переменную msg2. (рис. 16).</w:t>
      </w:r>
    </w:p>
    <w:bookmarkStart w:id="85" w:name="fig:016"/>
    <w:p>
      <w:pPr>
        <w:pStyle w:val="CaptionedFigure"/>
      </w:pPr>
      <w:r>
        <w:drawing>
          <wp:inline>
            <wp:extent cx="3733800" cy="1166812"/>
            <wp:effectExtent b="0" l="0" r="0" t="0"/>
            <wp:docPr descr="Рис. 16: Изменение значения переменной msg2" title="" id="83" name="Picture"/>
            <a:graphic>
              <a:graphicData uri="http://schemas.openxmlformats.org/drawingml/2006/picture">
                <pic:pic>
                  <pic:nvPicPr>
                    <pic:cNvPr descr="image/16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Изменение значения переменной msg2</w:t>
      </w:r>
    </w:p>
    <w:bookmarkEnd w:id="85"/>
    <w:p>
      <w:pPr>
        <w:pStyle w:val="BodyText"/>
      </w:pPr>
      <w:r>
        <w:t xml:space="preserve">Выведем в различных форматах (в шестнадцатеричном формате, в двоичном формате и в символьном виде) значение регистра edx.(рис. 17).</w:t>
      </w:r>
    </w:p>
    <w:bookmarkStart w:id="89" w:name="fig:017"/>
    <w:p>
      <w:pPr>
        <w:pStyle w:val="CaptionedFigure"/>
      </w:pPr>
      <w:r>
        <w:drawing>
          <wp:inline>
            <wp:extent cx="3060700" cy="7035800"/>
            <wp:effectExtent b="0" l="0" r="0" t="0"/>
            <wp:docPr descr="Рис. 17: Значение регистра edx" title="" id="87" name="Picture"/>
            <a:graphic>
              <a:graphicData uri="http://schemas.openxmlformats.org/drawingml/2006/picture">
                <pic:pic>
                  <pic:nvPicPr>
                    <pic:cNvPr descr="image/17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703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Значение регистра edx</w:t>
      </w:r>
    </w:p>
    <w:bookmarkEnd w:id="89"/>
    <w:p>
      <w:pPr>
        <w:pStyle w:val="BodyText"/>
      </w:pPr>
      <w:r>
        <w:t xml:space="preserve">Скопируем файл lab8-2.asm в файл с именем lab09-3.asm. Создадим исполняемый файл. Загрузим исполняемый файл в отладчик, указав аргументы. (рис. 18).</w:t>
      </w:r>
    </w:p>
    <w:bookmarkStart w:id="93" w:name="fig:018"/>
    <w:p>
      <w:pPr>
        <w:pStyle w:val="CaptionedFigure"/>
      </w:pPr>
      <w:r>
        <w:drawing>
          <wp:inline>
            <wp:extent cx="3733800" cy="2135816"/>
            <wp:effectExtent b="0" l="0" r="0" t="0"/>
            <wp:docPr descr="Рис. 18: Загрузка файла lab09-3.asm в отладчик" title="" id="91" name="Picture"/>
            <a:graphic>
              <a:graphicData uri="http://schemas.openxmlformats.org/drawingml/2006/picture">
                <pic:pic>
                  <pic:nvPicPr>
                    <pic:cNvPr descr="image/18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5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Загрузка файла lab09-3.asm в отладчик</w:t>
      </w:r>
    </w:p>
    <w:bookmarkEnd w:id="93"/>
    <w:p>
      <w:pPr>
        <w:pStyle w:val="BodyText"/>
      </w:pPr>
      <w:r>
        <w:t xml:space="preserve">Поставим метку на _start и запустим файл. (рис. 19).</w:t>
      </w:r>
    </w:p>
    <w:bookmarkStart w:id="97" w:name="fig:019"/>
    <w:p>
      <w:pPr>
        <w:pStyle w:val="CaptionedFigure"/>
      </w:pPr>
      <w:r>
        <w:drawing>
          <wp:inline>
            <wp:extent cx="3733800" cy="1019735"/>
            <wp:effectExtent b="0" l="0" r="0" t="0"/>
            <wp:docPr descr="Рис. 19: Запуск файла lab09-3 через метку" title="" id="95" name="Picture"/>
            <a:graphic>
              <a:graphicData uri="http://schemas.openxmlformats.org/drawingml/2006/picture">
                <pic:pic>
                  <pic:nvPicPr>
                    <pic:cNvPr descr="image/19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9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 файла lab09-3 через метку</w:t>
      </w:r>
    </w:p>
    <w:bookmarkEnd w:id="97"/>
    <w:p>
      <w:pPr>
        <w:pStyle w:val="BodyText"/>
      </w:pPr>
      <w:r>
        <w:t xml:space="preserve">Проверим адрес вершины стека и убедимся, что там хранится 5 элементов. (рис. 20).</w:t>
      </w:r>
    </w:p>
    <w:bookmarkStart w:id="101" w:name="fig:020"/>
    <w:p>
      <w:pPr>
        <w:pStyle w:val="CaptionedFigure"/>
      </w:pPr>
      <w:r>
        <w:drawing>
          <wp:inline>
            <wp:extent cx="3733800" cy="886777"/>
            <wp:effectExtent b="0" l="0" r="0" t="0"/>
            <wp:docPr descr="Рис. 20: Адрес вершины стека" title="" id="99" name="Picture"/>
            <a:graphic>
              <a:graphicData uri="http://schemas.openxmlformats.org/drawingml/2006/picture">
                <pic:pic>
                  <pic:nvPicPr>
                    <pic:cNvPr descr="image/20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6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Адрес вершины стека</w:t>
      </w:r>
    </w:p>
    <w:bookmarkEnd w:id="101"/>
    <w:p>
      <w:pPr>
        <w:pStyle w:val="BodyText"/>
      </w:pPr>
      <w:r>
        <w:t xml:space="preserve">Посмотрим остальные позиции стека – по адесу [esp+4] располагается адрес в памяти где находится имя программы, по адесу [esp+8] храниться адрес первого аргумента, по адресу [esp+12] – второго и т.д. Шаг изменения адреса равен 4 байтам, потому что мы работаем с 32-битной системой (x86), а указатели (void **) в такой системе занимают 4 байта. Ошибка Cannot access memory at address 0x0 на $esp + 24 указывает на то, что закончились аргументы командной строки. (рис. 21).</w:t>
      </w:r>
    </w:p>
    <w:bookmarkStart w:id="105" w:name="fig:021"/>
    <w:p>
      <w:pPr>
        <w:pStyle w:val="CaptionedFigure"/>
      </w:pPr>
      <w:r>
        <w:drawing>
          <wp:inline>
            <wp:extent cx="3733800" cy="1611374"/>
            <wp:effectExtent b="0" l="0" r="0" t="0"/>
            <wp:docPr descr="Рис. 21: Проверка остальных позиций стека" title="" id="103" name="Picture"/>
            <a:graphic>
              <a:graphicData uri="http://schemas.openxmlformats.org/drawingml/2006/picture">
                <pic:pic>
                  <pic:nvPicPr>
                    <pic:cNvPr descr="image/21.jp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1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Проверка остальных позиций стека</w:t>
      </w:r>
    </w:p>
    <w:bookmarkEnd w:id="105"/>
    <w:bookmarkEnd w:id="106"/>
    <w:bookmarkStart w:id="131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Преобразем программу из лабораторной работы №8 (Задание №1 для самостоятельной работы), реализовав вычисление значения функции f(x) как подпрограмму.(рис. 22).</w:t>
      </w:r>
    </w:p>
    <w:bookmarkStart w:id="110" w:name="fig:022"/>
    <w:p>
      <w:pPr>
        <w:pStyle w:val="CaptionedFigure"/>
      </w:pPr>
      <w:r>
        <w:drawing>
          <wp:inline>
            <wp:extent cx="3086100" cy="8559800"/>
            <wp:effectExtent b="0" l="0" r="0" t="0"/>
            <wp:docPr descr="Рис. 22: Текст программы lab09-4.asm" title="" id="108" name="Picture"/>
            <a:graphic>
              <a:graphicData uri="http://schemas.openxmlformats.org/drawingml/2006/picture">
                <pic:pic>
                  <pic:nvPicPr>
                    <pic:cNvPr descr="image/22.jp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55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Текст программы lab09-4.asm</w:t>
      </w:r>
    </w:p>
    <w:bookmarkEnd w:id="110"/>
    <w:bookmarkStart w:id="114" w:name="fig:023"/>
    <w:p>
      <w:pPr>
        <w:pStyle w:val="CaptionedFigure"/>
      </w:pPr>
      <w:r>
        <w:drawing>
          <wp:inline>
            <wp:extent cx="3733800" cy="1387784"/>
            <wp:effectExtent b="0" l="0" r="0" t="0"/>
            <wp:docPr descr="Рис. 23: Запуск программы" title="" id="112" name="Picture"/>
            <a:graphic>
              <a:graphicData uri="http://schemas.openxmlformats.org/drawingml/2006/picture">
                <pic:pic>
                  <pic:nvPicPr>
                    <pic:cNvPr descr="image/23.jp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7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Запуск программы</w:t>
      </w:r>
    </w:p>
    <w:bookmarkEnd w:id="114"/>
    <w:p>
      <w:pPr>
        <w:pStyle w:val="BodyText"/>
      </w:pPr>
      <w:r>
        <w:t xml:space="preserve">Перепишем программу и попробуем запустить ее, чтобы увидеть ошибку. Ошибка арифметическая, так как вместо 25,программа выводит 10. (рис. 24).</w:t>
      </w:r>
    </w:p>
    <w:bookmarkStart w:id="118" w:name="fig:024"/>
    <w:p>
      <w:pPr>
        <w:pStyle w:val="CaptionedFigure"/>
      </w:pPr>
      <w:r>
        <w:drawing>
          <wp:inline>
            <wp:extent cx="3733800" cy="6219217"/>
            <wp:effectExtent b="0" l="0" r="0" t="0"/>
            <wp:docPr descr="Рис. 24: Текст программы" title="" id="116" name="Picture"/>
            <a:graphic>
              <a:graphicData uri="http://schemas.openxmlformats.org/drawingml/2006/picture">
                <pic:pic>
                  <pic:nvPicPr>
                    <pic:cNvPr descr="image/24.jp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19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Текст программы</w:t>
      </w:r>
    </w:p>
    <w:bookmarkEnd w:id="118"/>
    <w:bookmarkStart w:id="122" w:name="fig:025"/>
    <w:p>
      <w:pPr>
        <w:pStyle w:val="CaptionedFigure"/>
      </w:pPr>
      <w:r>
        <w:drawing>
          <wp:inline>
            <wp:extent cx="3733800" cy="640711"/>
            <wp:effectExtent b="0" l="0" r="0" t="0"/>
            <wp:docPr descr="Рис. 25: Запуск программы" title="" id="120" name="Picture"/>
            <a:graphic>
              <a:graphicData uri="http://schemas.openxmlformats.org/drawingml/2006/picture">
                <pic:pic>
                  <pic:nvPicPr>
                    <pic:cNvPr descr="image/25.jp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0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Запуск программы</w:t>
      </w:r>
    </w:p>
    <w:bookmarkEnd w:id="122"/>
    <w:p>
      <w:pPr>
        <w:pStyle w:val="BodyText"/>
      </w:pPr>
      <w:r>
        <w:t xml:space="preserve">После появления ошибки, я запустила программу в отладчике. (рис. 26).</w:t>
      </w:r>
    </w:p>
    <w:bookmarkStart w:id="126" w:name="fig:026"/>
    <w:p>
      <w:pPr>
        <w:pStyle w:val="CaptionedFigure"/>
      </w:pPr>
      <w:r>
        <w:drawing>
          <wp:inline>
            <wp:extent cx="3733800" cy="4518090"/>
            <wp:effectExtent b="0" l="0" r="0" t="0"/>
            <wp:docPr descr="Рис. 26: Запуск файла lab09-3 через метку" title="" id="124" name="Picture"/>
            <a:graphic>
              <a:graphicData uri="http://schemas.openxmlformats.org/drawingml/2006/picture">
                <pic:pic>
                  <pic:nvPicPr>
                    <pic:cNvPr descr="image/26.jp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8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Запуск файла lab09-3 через метку</w:t>
      </w:r>
    </w:p>
    <w:bookmarkEnd w:id="126"/>
    <w:p>
      <w:pPr>
        <w:pStyle w:val="BodyText"/>
      </w:pPr>
      <w:r>
        <w:t xml:space="preserve">Откроем регистры и проанализируем их. Некоторые регистры стоят не на своих местах. Исправим это. Изменим регистры и запустим программу. Программа вывела ответ 25, то есть все работает правильно.(рис. 27).</w:t>
      </w:r>
    </w:p>
    <w:bookmarkStart w:id="130" w:name="fig:028"/>
    <w:p>
      <w:pPr>
        <w:pStyle w:val="CaptionedFigure"/>
      </w:pPr>
      <w:r>
        <w:drawing>
          <wp:inline>
            <wp:extent cx="3733800" cy="2706011"/>
            <wp:effectExtent b="0" l="0" r="0" t="0"/>
            <wp:docPr descr="Рис. 27: Повторный запуск программы" title="" id="128" name="Picture"/>
            <a:graphic>
              <a:graphicData uri="http://schemas.openxmlformats.org/drawingml/2006/picture">
                <pic:pic>
                  <pic:nvPicPr>
                    <pic:cNvPr descr="image/28.jp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6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Повторный запуск программы</w:t>
      </w:r>
    </w:p>
    <w:bookmarkEnd w:id="130"/>
    <w:bookmarkEnd w:id="131"/>
    <w:bookmarkStart w:id="1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приобрела навыки написания программ с использованием циклов и обработкой аргументов командной строки в NASM.</w:t>
      </w:r>
    </w:p>
    <w:bookmarkEnd w:id="1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94" Target="media/rId94.jpg" /><Relationship Type="http://schemas.openxmlformats.org/officeDocument/2006/relationships/image" Id="rId26" Target="media/rId26.jpg" /><Relationship Type="http://schemas.openxmlformats.org/officeDocument/2006/relationships/image" Id="rId98" Target="media/rId98.jpg" /><Relationship Type="http://schemas.openxmlformats.org/officeDocument/2006/relationships/image" Id="rId102" Target="media/rId102.jpg" /><Relationship Type="http://schemas.openxmlformats.org/officeDocument/2006/relationships/image" Id="rId107" Target="media/rId107.jpg" /><Relationship Type="http://schemas.openxmlformats.org/officeDocument/2006/relationships/image" Id="rId111" Target="media/rId111.jpg" /><Relationship Type="http://schemas.openxmlformats.org/officeDocument/2006/relationships/image" Id="rId115" Target="media/rId115.jpg" /><Relationship Type="http://schemas.openxmlformats.org/officeDocument/2006/relationships/image" Id="rId119" Target="media/rId119.jpg" /><Relationship Type="http://schemas.openxmlformats.org/officeDocument/2006/relationships/image" Id="rId123" Target="media/rId123.jpg" /><Relationship Type="http://schemas.openxmlformats.org/officeDocument/2006/relationships/image" Id="rId127" Target="media/rId127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Туева Анастасия Юрьевна</dc:creator>
  <dc:language>ru-RU</dc:language>
  <cp:keywords/>
  <dcterms:created xsi:type="dcterms:W3CDTF">2024-12-16T15:38:26Z</dcterms:created>
  <dcterms:modified xsi:type="dcterms:W3CDTF">2024-12-16T15:38:26Z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Архитектура компьютера НММбд-03-24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