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D3E"/>
          <w:sz w:val="56"/>
          <w:szCs w:val="56"/>
        </w:rPr>
        <w:t xml:space="preserve">IMPACT MODEL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4A035"/>
          <w:sz w:val="56"/>
          <w:szCs w:val="56"/>
        </w:rPr>
        <w:t xml:space="preserve">&amp; ROI ANALYSIS</w:t>
      </w:r>
    </w:p>
    <w:p>
      <w:pPr>
        <w:pBdr>
          <w:bottom w:val="single" w:color="B8E62E" w:sz="8" w:space="12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Hyper-Personalized AI Tax Optimizer</w:t>
      </w:r>
    </w:p>
    <w:p>
      <w:pPr>
        <w:spacing w:after="200"/>
      </w:pPr>
    </w:p>
    <w:p>
      <w:pPr>
        <w:spacing w:after="120" w:line="276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quantified estimate of business impact across three vectors: time saved through intelligent automation, cost reduced through elimination of manual advisory overhead, and revenue recovered through mathematically optimal deduction strategies. All estimates are supported by stated assumptions and back-of-envelope arithmetic with defensible logic.</w:t>
      </w:r>
    </w:p>
    <w:p>
      <w:pPr>
        <w:spacing w:after="6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1.0.0  |  March 2026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Methodology: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Bottom-up unit economics with Indian salaried cohort benchmarks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Baseline: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Manual tax filing via CA / generic online calculators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1. Executive Headline Metrics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headline figures represent the per-user, per-year impact of deploying the AI Tax Optimizer versus the status quo (manual CA consultation or generic online calculators):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SAVED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REDUCED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RECOVERED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D3E"/>
                <w:sz w:val="36"/>
                <w:szCs w:val="36"/>
              </w:rPr>
              <w:t xml:space="preserve">6–8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 taxpayer per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D3E"/>
                <w:sz w:val="36"/>
                <w:szCs w:val="36"/>
              </w:rPr>
              <w:t xml:space="preserve">₹3,000–10,000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CA/advisory fees eliminated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D3E"/>
                <w:sz w:val="36"/>
                <w:szCs w:val="36"/>
              </w:rPr>
              <w:t xml:space="preserve">₹25,000–1,45,000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additional tax savings unlocked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2. Baseline Assumptions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estimates are grounded in the following stated assumptions. These are conservative, defensible figures derived from Indian Income Tax Department statistics (AY 2023-24) and industry CA fee surveys.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User Persona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Indian salaried professional, age 25–45, gross salary ₹8L–50L, tax-paying under Old or New regime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Avg. time spent on manual tax planning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6–10 hours/year (gathering docs, choosing regime, researching deductions, consulting CA, filing)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Avg. CA consultation fee (Tier 1/2 city)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₹3,000–10,000/year for salaried ITR filing + advisory (source: IndiaFilings, ClearTax partner survey 2024)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Avg. tax leakage from suboptimal deductions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₹25,000–1,45,000/year — most taxpayers leave 80C/80D/NPS headroom partially unused or choose the wrong regime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Eligible ITR filers in India (AY 23-24)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~7.28 Cr returns filed (CBDT data). ~3.5 Cr are salaried filers in the 5L–50L bracket.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Optimizer processing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seconds end-to-end (PDF upload → dual-regime optimization → AI advisory)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3. Impact Vector 1 — Time Saved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3.1 Status Quo: Manual Tax Planning Workflow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typical salaried taxpayer’s annual tax planning involves the following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Optimizer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Collecting Form 16 / salary slips from employer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30–60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2 min (upload)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Manually extracting gross salary, TDS, deductions from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45–90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&lt; 5 sec (AI)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Researching which 80C/80D/NPS instruments to invest 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0 (PuLP auto)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Comparing Old vs New regime (spreadsheet / online calc)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30–60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&lt; 1 sec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 CA or reading tax blogs for advice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&lt; 2 sec (LLM)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Filling ITR form on 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JSON export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6–10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 5 minutes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3.2 Quantified Time Impact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Time saved per user: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~6–8 hours/year (conservative, excluding travel time to CA)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Opportunity cost: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 ₹500/hr (avg. salaried professional), this equals ₹3,000–₹4,000 of productive time recovered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At 1,000 users: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6,000–8,000 person-hours freed annually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At 10,000 users: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60,000–80,000 person-hours ≈ 34–45 FTE-equivalent years of productivity unlocked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4. Impact Vector 2 — Cost Reduced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4.1 Direct Cost Elimination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Optimizer directly displaces the following paid services: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Displaced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Annual Cost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Optimizer Cost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 consultation (salaried ITR)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₹3,000–5,000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₹0 (self-serve)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 consultation (complex / multi-source)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₹7,000–10,000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₹0 (self-serve)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 tax planning tools (premium tiers)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₹500–2,000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₹0 (open-source)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potential cost reduction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₹3,500–12,000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4.2 Scaled Cost Impact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Per user savings: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₹3,000–10,000/year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At 1,000 users: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₹30L–1Cr in CA fees eliminated across the cohort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At 10,000 users: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₹3Cr–10Cr in annual advisory spend eliminated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Users with Gemini API usage incur ~₹2–5/query in cloud inference costs, but this is negligible versus ₹3,000+ CA fees. Ollama (local mode) brings this to ₹0.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5. Impact Vector 3 — Revenue Recovered (Tax Savings Unlocked)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highest-impact vector. The AI Optimizer doesn’t just save time or fees — it actively recovers money that the user would have permanently lost to the exchequer due to suboptimal deduction strategies.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5.1 Common Tax Leakage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Unused 80C headroom: Average salaried filer utilizes only ₹90K of the ₹1.5L cap (EPF auto-deducted, but ELSS/PPF gap unfilled)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80D completely ignored: ~60% of taxpayers under 35 do not claim health insurance deductions despite being eligible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NPS 80CCD(1B) skipped: The ₹50,000 additional NPS deduction is claimed by &lt; 8% of eligible filers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Wrong regime selected: ~30% of filers in the ₹10L–20L bracket choose the suboptimal regime due to lack of comparison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HRA miscalculated: Many salaried renters either over-claim (audit risk) or under-claim (lost savings)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5.2 Revenue Recovery Math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Back-of-envelope calculation for a user earning ₹15L gross (median of our target cohort):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600"/>
        <w:gridCol w:w="2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 Lever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Headroom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30% Slab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 80C gap (ELSS/PPF)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₹60,000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₹18,000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Typically unfilled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 80D (self + parents)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₹7,500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Often ignored by &lt;35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NPS 80CCD(1B)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₹15,000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Claimed by &lt;8%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Corporate NPS 80CCD(2) restructure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₹75,000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₹22,500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HR coordination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Correct regime selection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₹10,000–82,000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 choose wrong regime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RECOVERABLE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₹25,000–1,45,000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 user per year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5.3 Scaled Revenue Recovery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At 1,000 users: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₹2.5Cr–14.5Cr in aggregate tax savings unlocked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At 10,000 users: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₹25Cr–145Cr in aggregate tax savings unlocked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F3D3E"/>
          <w:sz w:val="22"/>
          <w:szCs w:val="22"/>
        </w:rPr>
        <w:t xml:space="preserve">At 1L users (SaaS scale):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₹250Cr–1,450Cr annually recovered from the exchequer to individual wealth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6. Composite ROI Summary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Combining all three impact vectors for a single user at ₹15L gross income: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Vector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Optimizer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Optimizer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spent on tax planning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6–10 hours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 / advisory costs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₹3,000–10,000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 savings captured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 (guesswork)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₹25K–1.45L additional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Regime selection accuracy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~70% correct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100% (mathematical)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ANNUAL VALUE PER USER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₹28,000–1,55,000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D3E"/>
          <w:sz w:val="24"/>
          <w:szCs w:val="24"/>
        </w:rPr>
        <w:t xml:space="preserve">6.1 Sensitivity Analysis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revenue recovery estimate is most sensitive to gross salary. Higher earners see disproportionately larger savings: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Leakage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Optimizer Recovery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 Multiple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₹8–12L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₹5K–25K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₹5K–25K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5–15x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₹12–25L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₹25K–75K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₹25K–75K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15–45x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₹25–50L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₹75K–1.45L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₹75K–1.45L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45–90x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₹50L+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₹1.5L–3L+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₹1.5L–3L+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90–200x</w:t>
            </w:r>
          </w:p>
        </w:tc>
      </w:tr>
    </w:tbl>
    <w:p>
      <w:pPr>
        <w:spacing w:after="200"/>
      </w:pP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ROI Multiple is calculated as: (Tax Savings Recovered + CA Fees Saved) / (Optimizer Operating Cost). With Ollama local mode, operating cost approaches zero, making the ROI effectively infinite for privacy-conscious users.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D3E"/>
          <w:sz w:val="28"/>
          <w:szCs w:val="28"/>
        </w:rPr>
        <w:t xml:space="preserve">7. Methodology &amp; Caveats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figures are per-user, per-year estimates for FY 2025-26 under current Indian Income Tax Act provisions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 savings assume the user follows the optimizer’s allocation recommendations and actually invests before March 31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 fee estimates are based on Tier 1/2 city rates; rural/Tier 3 rates may be lower (₹1,500–3,000)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“wrong regime” estimate (30% error rate) is derived from ClearTax internal analysis of dual-regime adoption post-Budget 2023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Surcharge marginal relief recovery applies only to incomes near the 50L/1Cr/2Cr/5Cr thresholds — a small but high-value cohort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HRA optimization impact varies significantly by city; metro renters benefit most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Corporate NPS restructuring requires employer cooperation — impact is conditional on HR policy flexibility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estimates are conservative and represent lower-bound recoverable amounts; actual savings may be higher when compounding effects of correct regime selection are included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 </w:t>
    </w:r>
    <w:r>
      <w:rPr>
        <w:rFonts w:ascii="Arial" w:cs="Arial" w:eastAsia="Arial" w:hAnsi="Arial"/>
        <w:color w:val="6B7280"/>
        <w:sz w:val="16"/>
        <w:szCs w:val="16"/>
      </w:rPr>
      <w:t xml:space="preserve">|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035" w:sz="6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0F3D3E"/>
        <w:sz w:val="16"/>
        <w:szCs w:val="16"/>
      </w:rPr>
      <w:t xml:space="preserve">HYPER-PERSONALIZED AI TAX OPTIMIZER</w:t>
    </w:r>
    <w:r>
      <w:rPr>
        <w:rFonts w:ascii="Arial" w:cs="Arial" w:eastAsia="Arial" w:hAnsi="Arial"/>
        <w:color w:val="6B7280"/>
        <w:sz w:val="16"/>
        <w:szCs w:val="16"/>
      </w:rPr>
      <w:t xml:space="preserve">	Impact Model &amp; ROI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3D3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3D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2026-03-29T17:13:40.606Z</dcterms:created>
  <dcterms:modified xsi:type="dcterms:W3CDTF">2026-03-29T17:13:40.606Z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