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D3E"/>
          <w:sz w:val="56"/>
          <w:szCs w:val="56"/>
        </w:rPr>
        <w:t xml:space="preserve">HYPER-PERSONALIZED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4A035"/>
          <w:sz w:val="56"/>
          <w:szCs w:val="56"/>
        </w:rPr>
        <w:t xml:space="preserve">AI TAX OPTIMIZER</w:t>
      </w:r>
    </w:p>
    <w:p>
      <w:pPr>
        <w:pBdr>
          <w:bottom w:val="single" w:color="B8E62E" w:sz="8" w:space="12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Architecture &amp; Technical Documentation</w:t>
      </w:r>
    </w:p>
    <w:p>
      <w:pPr>
        <w:spacing w:after="200"/>
      </w:pPr>
    </w:p>
    <w:p>
      <w:pPr>
        <w:spacing w:after="120" w:line="276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An enterprise-grade, multi-agent orchestration platform leveraging Linear Programming (PuLP CBC), Generative AI (Gemini 2.5 Flash / Ollama Llama 3.1), and deterministic rule engines to construct mathematically optimal Indian Income Tax strategies across dual-regime topologies.</w:t>
      </w:r>
    </w:p>
    <w:p>
      <w:pPr>
        <w:spacing w:after="6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1.0.0  |  March 2026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Stack: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FastAPI · Next.js 14 · PuLP · Gemini 2.5 Flash · Pydantic v2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Confidential — Internal Architecture Reference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1. Executive Summary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Hyper-Personalized AI Tax Optimizer is a next-generation, agentic fintech platform engineered to deliver machine-precise, zero-margin-of-error Indian Income Tax optimization. Unlike conventional calculators that operate on static rule execution, this system deploys a constellation of six specialized AI agents — each with discrete, fault-tolerant responsibilities — orchestrated through a high-throughput FastAPI gateway and presented via an immersive Next.js 14 wizard interface.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incorporates multi-pass document intelligence (3-pass PDF extraction pipeline), constraint-based convex optimization (PuLP CBC solver), stochastic regime bifurcation analysis (binary-search breakeven), and Large Language Model advisory synthesis (Gemini 2.5 Flash / Ollama Llama 3.1) to produce absolute minimum tax liabilities across India’s Old and New regime topologies.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2. System Architecture Overview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follows a layered microservice-agent architecture with strict separation of concerns: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 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SSR React application with Tailwind CSS, Framer Motion animations, and Recharts data visualization. Hosts the 4-step wizard flow and dual-regime comparison dashboard.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REST service with CORS middleware, Pydantic request validation, and sanitized error propagation. Exposes /api/extract_pdf and /api/optimize endpoints.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Six Python agents (PDF Parser, Tax Engine, Deduction Hunter, PuLP Optimizer, Personal CA, AI Narrative) invoked sequentially by the gateway to construct the optimization matrix.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Gemini 2.5 Flash (cloud) and Ollama Llama 3.1 (local privacy mode) for document vision extraction and natural language advisory generation.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Contracts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Pydantic v2 schemas (ParsedTaxData, IncomeDetails, DeductionDetails) enforce strict type safety across all agent boundaries.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3. Multi-Agent Orchestration Framework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agent operates as an autonomous, stateless computational unit with well-defined input/output contracts. The FastAPI gateway serves as the central orchestrator, invoking agents in a deterministic DAG (Directed Acyclic Graph) topology.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3.1 PDF Parser Agent — Tri-Pass Document Intelligence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Implements a resilient, cascading extraction pipeline engineered to handle heterogeneous document formats ranging from pristine Form 16 filings to structurally corrupt salary slips with missing TDS quarters.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1 (Structural): Form16x-compliant deterministic parser for standard Government-issued PDFs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2 (Heuristic): pdfplumber + Regex pattern-matching fallback for non-standard salary slip layouts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3 (Generative AI): Gemini 2.5 Flash Vision with Pydantic schema-enforced JSON extraction — handles corrupt, multi-source, and gig-worker documents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Confidence Scoring: Outputs HIGH/LOW confidence flags with granular warnings[] array (e.g., ‘PAN masked’, ‘Salary sum deviates by 3.1%’, ‘TDS Q4 missing’)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3.2 Tax Engine Agent — Deterministic Fiscal Rule Engine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zero-dependency, fully-owned Indian Income Tax computation engine covering FY 2024-25 and FY 2025-26. Deliberately avoids third-party PyPI calculators to eliminate supply-chain risk and ensure sub-millisecond execution latency.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Slab-based progressive taxation with FY-keyed configuration dictionaries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87A Rebate with precise marginal relief at the Rs.12,00,000 boundary (resolves the classic &lt;= vs &lt; rounding bug)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Surcharge cascades: 10% (&gt;50L), 15% (&gt;1Cr), 25% (&gt;2Cr), 37% (&gt;5Cr) with full Marginal Relief calculation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Conditional Standard Deduction: Rs.75,000 for Salary/Pension, Rs.0 for Business/Professional income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Age-adaptive slab modification: Senior Citizens (60-79, Rs.3L exemption), Super Seniors (80+, Rs.5L exemption)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4% Health &amp; Education Cess on (Base Tax + Surcharge)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3.3 Deduction Hunter Agent — Headroom Intelligence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Maintains a real-time ledger of utilized deductions per section and computes remaining investable capacity. Generates full audit trails with transparent provenance for every deduction entry.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coverage: 80C (Rs.1.5L), 80CCD(1B) (Rs.50K), 80CCD(2) (uncapped), 80D (Rs.75K), 24(b) (Rs.2L)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Regime-aware filtering: Only 80CCD(2) passes through to New Regime calculations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 impact simulation: Evaluates marginal tax savings of proposed investment allocations before execution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3.4 PuLP Optimizer Agent — Convex Capital Allocation Engine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Formulates the tax-saving investment problem as a multi-objective Linear Program solved by the PuLP CBC (Coin-or Branch and Cut) solver. Runs entirely locally with zero external network dependencies.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Objective Function: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Maximize [ TaxSavedProxy × 0.5 + ExpectedReturn × 0.3 − LiquidityPenalty × 0.2 ]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Hard Constraints: Section headroom limits, total budget cap, lock-in period ≤ user liquidity horizon, risk score ≤ user tolerance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Instrument Universe: NPS Tier 1 (10% return, 60yr lock), VPF (8.1%, 5yr), ELSS MF (12%, 3yr), PPF (7.1%, 15yr), 5yr FD (7%, 5yr), Health Insurance (0%, 0yr)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Output: Exact Rs. allocation per instrument guaranteeing mathematical optimality within the feasible polytope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3.5 Personal CA Agent — Structural Advisory Engine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Simulates the strategic thinking of a Chartered Accountant by engineering structural CTC modifications rather than merely filling deduction forms.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HRA Optimization: Rule-of-3 criteria (min of Actual HRA, 50%/40% Basic, Rent − 10% Basic)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Regime Breakeven Analysis: 50-iteration binary search to find the exact Rs. deduction threshold where Old Regime becomes mathematically superior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Corporate NPS Restructuring (80CCD(2)): Recommends shifting 10% of Basic Salary to Employer NPS — tax-free in BOTH regimes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LTCG Tax-Gain Harvesting: Books Rs.1.25L annually at 12.5% rate to step-up purchase price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3.6 AI Narrative Agent — LLM Advisory Synthesis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human-readable executive wealth advisory by synthesizing the complete optimization matrix through a Large Language Model with a curated “Elite Indian Executive Wealth Mentor” persona.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Mode: Google Gemini 2.5 Flash via google-genai SDK (sub-2s inference)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 Mode: Ollama Llama 3.1 via local HTTP endpoint (localhost:11434, 30s timeout)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Prompt Engineering: Ingests regime comparison matrix, headroom data, and PuLP results. Outputs a definitive regime recommendation with exact investment instructions.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4. Inter-Agent Communication Protocols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4.1 PDF Extraction Pipeline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→ POST /api/extract_pdf (multipart/form-data) → PDFParser.parse() → Tri-pass cascade → ParsedTaxData (Pydantic) → JSON response with {gross_salary, confidence, warnings[], is_business}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response dynamically controls the frontend state: HIGH confidence renders the green “Form 16 Synchronized” badge; LOW confidence triggers an amber “Corrupt/Missing Fields Detected” halt block with enumerated AI Verification Fails.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4.2 Optimization Pipeline (DAG Topology)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→ POST /api/optimize (application/json) → Sequential agent invocation: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PersonalCA.calculate_hra_exemption() → HRA exemption quantum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TaxEngine.calculate_tax() × 2 → Old Regime base tax (with fixed deductions) + New Regime base tax (0 deductions)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DeductionHunter.get_headroom() → Available capacity per section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TaxOptimizer.optimize() → PuLP-solved instrument allocations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PersonalCA.find_regime_breakeven() + restructure_corporate_nps() → CA structural insights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Dual-Regime Optimization Math → Absolute minimum tax per regime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AINarrativeGenerator.generate_action_plan() → Executive advisory text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5. Error Handling &amp; Security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5.1 API Gateway Error Sanitization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exceptions propagating from the agent layer are intercepted at the FastAPI boundary and transformed into sanitized, security-compliant HTTP 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Sanitized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API_KEY_INVALID / key not valid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401: “Authentication Error: The provided Google Gemini API key is invalid.”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Quota exceeded / 429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429: “Rate Limit Exceeded: The provided Google Gemini API quota has been exhausted.”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other exception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500: “AI Engine Error: {first sentence only}” — stack traces and RPC metadata are NEVER forwarded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5.2 PDF Parser Fault Tolerance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tri-pass cascade ensures graceful degradation across document quality spectrums: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1 failure → silent fallthrough to Pass 2 (no error surfaced)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2 failure → silent fallthrough to Pass 3 (Gemini Vision)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3 failure OR no API key → ValueError with user-facing message (never raw traces)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 confidence extraction → data returned but frontend blocks automatic progression until user confirms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5.3 Frontend Error Boundaries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unreachable: catch block renders connection failure message, user remains on input form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returns {success: false}: Error banner displayed on Step 2 with specific error text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Incomplete dashboard data: Dashboard component renders diagnostic fallback card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Ollama not running: AI narrative agent returns explicit connection error string (no crash)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6. Tool &amp; Technology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PuLP (CBC Solver)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Multi-objective linear programming for tax-saving capital allocation. Zero network calls — runs entirely locally.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pdfplumber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Page-by-page PDF text extraction for Pass 2 heuristic parsing.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Vision-based PDF parsing (Pass 3) and AI narrative generation. Schema-enforced via Pydantic.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(Llama 3.1)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privacy-first LLM for users who decline cloud API usage. HTTP to localhost:11434.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Type-safe data contracts shared across all agents. Also used as Gemini response schema.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REST gateway with CORS, Pydantic validation, and centralized error sanitization.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SSR frontend with Tailwind CSS utility framework and hot-reload development.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data visualization: pie speedometer (tax eradication %) and stacked bar (capital deployment gaps).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Declarative step-transition animations for the 4-step wizard flow.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7. Quantitative Edge Case Validation Matrix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has been rigorously validated against five purpose-built edge case PDFs covering the full spectrum of real-world tax filing anomalies: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Outcome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Form 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PASS — Rs.14.2L gross extracted via Pass 2. New Regime recommended (Rs.85K vs Rs.232K).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87A Rebate Boundary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PASS — Rs.12L taxable income correctly resolves to NIL tax (Rs.0) under New Regime with full 87A rebate.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 Worker Multi-Source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PASS — 44ADA + 194A income routed via total_gross_income property. Income type auto-toggled to Business/Pro.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Corrupt/Missing Fields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PASS — Gemini sets confidence=LOW with warnings[]. Frontend renders amber halt block. User must confirm before proceeding.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Income Surcharge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PASS — Rs.44.8L gross. Old Regime saves Rs.1.45L over New. Surcharge marginal relief formula verified.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8. Key Technical Differentiators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Multi-Agent Orchestration: Six autonomous agents with discrete fault boundaries — no single point of failure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Tri-Pass Document Intelligence: Cascading extraction pipeline with Generative AI vision fallback and structured confidence scoring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Convex Optimization via Linear Programming: PuLP CBC solver guarantees mathematically provable optimal allocations within the feasible polytope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Dual-Regime Bifurcation Analysis: Computes absolute minimum tax for BOTH Old and New regimes simultaneously with a definitive recommendation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Zero-Dependency Tax Engine: Fully-owned slab computation avoids third-party supply-chain risk and ensures sub-millisecond latency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Privacy-First Architecture: Ollama local LLM toggle ensures sensitive financial data never leaves the user’s machine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87A Marginal Relief Precision: Resolves the classic &lt;= vs &lt; boundary bug at the Rs.12L threshold that breaks most tax tools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Surcharge Marginal Relief: Full implementation across all four surcharge brackets (50L/1Cr/2Cr/5Cr) preventing over-taxation at threshold boundaries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ITR-Ready JSON Export: One-click export of the complete optimization matrix for direct integration with Government e-filing portals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 Error Sanitization: Raw API traces, RPC metadata, and stack traces are NEVER forwarded to the client layer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 </w:t>
    </w:r>
    <w:r>
      <w:rPr>
        <w:rFonts w:ascii="Arial" w:cs="Arial" w:eastAsia="Arial" w:hAnsi="Arial"/>
        <w:color w:val="6B7280"/>
        <w:sz w:val="16"/>
        <w:szCs w:val="16"/>
      </w:rPr>
      <w:t xml:space="preserve">|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035" w:sz="6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0F3D3E"/>
        <w:sz w:val="16"/>
        <w:szCs w:val="16"/>
      </w:rPr>
      <w:t xml:space="preserve">HYPER-PERSONALIZED AI TAX OPTIMIZER</w:t>
    </w:r>
    <w:r>
      <w:rPr>
        <w:rFonts w:ascii="Arial" w:cs="Arial" w:eastAsia="Arial" w:hAnsi="Arial"/>
        <w:color w:val="6B7280"/>
        <w:sz w:val="16"/>
        <w:szCs w:val="16"/>
      </w:rPr>
      <w:t xml:space="preserve">	Architecture &amp;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3D3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3D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2026-03-29T16:51:44.667Z</dcterms:created>
  <dcterms:modified xsi:type="dcterms:W3CDTF">2026-03-29T16:51:44.667Z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