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00000"/>
          <w:sz w:val="46"/>
        </w:rPr>
        <w:t>NOTE ROI</w:t>
      </w:r>
    </w:p>
    <w:p>
      <w:pPr>
        <w:spacing w:after="240"/>
      </w:pPr>
      <w:r>
        <w:rPr>
          <w:rFonts w:ascii="Calibri" w:hAnsi="Calibri"/>
          <w:b w:val="0"/>
          <w:color w:val="374151"/>
          <w:sz w:val="28"/>
        </w:rPr>
        <w:t>Centralisation automatisée des emails et pièces jointes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2"/>
              </w:rPr>
              <w:t xml:space="preserve">Décision clé.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Le scénario central représente 82,5 heures économisées par mois, avant même l’ajout de classification IA.</w:t>
            </w:r>
          </w:p>
        </w:tc>
      </w:tr>
    </w:tbl>
    <w:p>
      <w:pPr>
        <w:pStyle w:val="Heading2"/>
      </w:pPr>
      <w:r>
        <w:t>Hypothèses</w:t>
      </w:r>
    </w:p>
    <w:p>
      <w:r>
        <w:t>9 000 emails par mois ; une recherche documentaire prend 12 minutes aujourd’hui et environ 1 minute avec la GED. Trois taux de recherche sont testés : 2 %, 5 % et 10 % des emails reçus.</w:t>
      </w:r>
    </w:p>
    <w:p>
      <w:pPr>
        <w:pStyle w:val="Heading2"/>
      </w:pPr>
      <w:r>
        <w:t>Gain mensuel estimé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100"/>
        <w:gridCol w:w="1800"/>
        <w:gridCol w:w="2050"/>
        <w:gridCol w:w="2660"/>
      </w:tblGrid>
      <w:tr>
        <w:tc>
          <w:tcPr>
            <w:tcW w:type="dxa" w:w="17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Scénario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Taux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Recherches</w:t>
            </w:r>
          </w:p>
        </w:tc>
        <w:tc>
          <w:tcPr>
            <w:tcW w:type="dxa" w:w="2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Gain unitaire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Gain mensuel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Prudent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2 %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180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 min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33 h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Central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5 %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450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 min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82,5 h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Haut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10 %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900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 min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165 h</w:t>
            </w:r>
          </w:p>
        </w:tc>
      </w:tr>
    </w:tbl>
    <w:p>
      <w:pPr>
        <w:pStyle w:val="Heading2"/>
      </w:pPr>
      <w:r>
        <w:t>Valeur et risques couverts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color w:val="000000"/>
          <w:sz w:val="21"/>
        </w:rPr>
        <w:t>Scénario central : 990 heures économisées par an, à valoriser avec le coût horaire chargé de l’équipe.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color w:val="000000"/>
          <w:sz w:val="21"/>
        </w:rPr>
        <w:t>Réduction des pertes de pièces jointes, des doublons et de la dépendance à la mémoire collective.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color w:val="000000"/>
          <w:sz w:val="21"/>
        </w:rPr>
        <w:t>Visibilité immédiate sur les uploads en échec et historique Client–Mail–Fichier reconstituable.</w:t>
      </w:r>
    </w:p>
    <w:p>
      <w:pPr>
        <w:pStyle w:val="Heading2"/>
      </w:pPr>
      <w:r>
        <w:t>Coût et recommandation</w:t>
      </w:r>
    </w:p>
    <w:p>
      <w:r>
        <w:t>La démonstration utilise n8n Community auto-hébergé et des comptes de test Airtable/Google : coût logiciel marginal nul hors matériel existant. Pour le client réel, chiffrer l’hébergement permanent, le plan Airtable, le stockage, les sauvegardes et l’administration.</w:t>
      </w:r>
    </w:p>
    <w:p>
      <w:pPr>
        <w:spacing w:before="40" w:after="0"/>
      </w:pPr>
      <w:r>
        <w:rPr>
          <w:rFonts w:ascii="Calibri" w:hAnsi="Calibri"/>
          <w:b/>
          <w:color w:val="1F3A5F"/>
          <w:sz w:val="22"/>
        </w:rPr>
        <w:t xml:space="preserve">Recommandation : </w:t>
      </w:r>
      <w:r>
        <w:rPr>
          <w:rFonts w:ascii="Calibri" w:hAnsi="Calibri"/>
          <w:b w:val="0"/>
          <w:color w:val="000000"/>
          <w:sz w:val="22"/>
        </w:rPr>
        <w:t>valider le niveau 2 sur cinq emails de démonstration avant d’investir dans la classification IA et les alertes avancées.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7"/>
      </w:rPr>
      <w:t>Hypothèses de démonstration — données fictives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7280"/>
        <w:sz w:val="18"/>
      </w:rPr>
      <w:t>TECHDISTRI  |  GED NO-CODE — NIVEAU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ROI — GED TechDistri</dc:title>
  <dc:subject>Projet NoCode niveau 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