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 Display" w:hAnsi="Aptos Display"/>
          <w:color w:val="000000"/>
          <w:sz w:val="36"/>
        </w:rPr>
        <w:t>Note ROI GED TechDistri Niveau 2</w:t>
      </w:r>
    </w:p>
    <w:p>
      <w:pPr>
        <w:spacing w:after="80"/>
      </w:pPr>
      <w:r>
        <w:rPr>
          <w:b/>
          <w:color w:val="16324F"/>
        </w:rPr>
        <w:t xml:space="preserve">Conclusion : </w:t>
      </w:r>
      <w:r>
        <w:t>avec 3 000 clients et 9 000 emails par mois, la GED réalisée au niveau 2 libère 33 à 165 heures de recherche chaque mois tout en rendant les pièces jointes et les erreurs traçables.</w:t>
      </w:r>
    </w:p>
    <w:p>
      <w:pPr>
        <w:spacing w:before="100" w:after="40"/>
      </w:pPr>
      <w:r>
        <w:rPr>
          <w:rFonts w:ascii="Aptos Display" w:hAnsi="Aptos Display"/>
          <w:b/>
          <w:color w:val="16324F"/>
          <w:sz w:val="21"/>
        </w:rPr>
        <w:t>Hypothèses de calcul</w:t>
      </w:r>
    </w:p>
    <w:p>
      <w:pPr>
        <w:spacing w:after="60"/>
      </w:pPr>
      <w:r>
        <w:rPr>
          <w:b/>
        </w:rPr>
        <w:t xml:space="preserve">Portefeuille : </w:t>
      </w:r>
      <w:r>
        <w:t>3 000 clients, soit 3 emails par client et par mois en moyenne. Une recherche documentaire prend 12 minutes avant GED et 1 minute après, soit 11 minutes gagnées. Les scénarios représentent la part des emails nécessitant une recherche.</w:t>
      </w:r>
    </w:p>
    <w:p>
      <w:pPr>
        <w:spacing w:before="100" w:after="40"/>
      </w:pPr>
      <w:r>
        <w:rPr>
          <w:rFonts w:ascii="Aptos Display" w:hAnsi="Aptos Display"/>
          <w:b/>
          <w:color w:val="16324F"/>
          <w:sz w:val="21"/>
        </w:rPr>
        <w:t>Temps gagné grâce au niveau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64"/>
        <w:gridCol w:w="2164"/>
        <w:gridCol w:w="2164"/>
        <w:gridCol w:w="2164"/>
        <w:gridCol w:w="2164"/>
      </w:tblGrid>
      <w:tr>
        <w:tc>
          <w:tcPr>
            <w:tcW w:type="dxa" w:w="1701"/>
            <w:shd w:fill="16324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Scénario</w:t>
            </w:r>
          </w:p>
        </w:tc>
        <w:tc>
          <w:tcPr>
            <w:tcW w:type="dxa" w:w="1587"/>
            <w:shd w:fill="16324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Emails à rechercher</w:t>
            </w:r>
          </w:p>
        </w:tc>
        <w:tc>
          <w:tcPr>
            <w:tcW w:type="dxa" w:w="1757"/>
            <w:shd w:fill="16324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Temps gagné</w:t>
              <w:br/>
              <w:t>par recherche</w:t>
            </w:r>
          </w:p>
        </w:tc>
        <w:tc>
          <w:tcPr>
            <w:tcW w:type="dxa" w:w="1928"/>
            <w:shd w:fill="16324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Gain mensuel</w:t>
            </w:r>
          </w:p>
        </w:tc>
        <w:tc>
          <w:tcPr>
            <w:tcW w:type="dxa" w:w="1304"/>
            <w:shd w:fill="16324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Équivalent</w:t>
              <w:br/>
              <w:t>jours</w:t>
            </w:r>
          </w:p>
        </w:tc>
      </w:tr>
      <w:tr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Prudent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180 (2 %)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11 min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6324F"/>
                <w:sz w:val="17"/>
              </w:rPr>
              <w:t>33 h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4,1 j</w:t>
            </w:r>
          </w:p>
        </w:tc>
      </w:tr>
      <w:tr>
        <w:tc>
          <w:tcPr>
            <w:tcW w:type="dxa" w:w="21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Central</w:t>
            </w:r>
          </w:p>
        </w:tc>
        <w:tc>
          <w:tcPr>
            <w:tcW w:type="dxa" w:w="21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450 (5 %)</w:t>
            </w:r>
          </w:p>
        </w:tc>
        <w:tc>
          <w:tcPr>
            <w:tcW w:type="dxa" w:w="21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11 min</w:t>
            </w:r>
          </w:p>
        </w:tc>
        <w:tc>
          <w:tcPr>
            <w:tcW w:type="dxa" w:w="21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6324F"/>
                <w:sz w:val="17"/>
              </w:rPr>
              <w:t>82,5 h</w:t>
            </w:r>
          </w:p>
        </w:tc>
        <w:tc>
          <w:tcPr>
            <w:tcW w:type="dxa" w:w="21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10,3 j</w:t>
            </w:r>
          </w:p>
        </w:tc>
      </w:tr>
      <w:tr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Haut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900 (10 %)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11 min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6324F"/>
                <w:sz w:val="17"/>
              </w:rPr>
              <w:t>165 h</w:t>
            </w:r>
          </w:p>
        </w:tc>
        <w:tc>
          <w:tcPr>
            <w:tcW w:type="dxa" w:w="2164"/>
            <w:shd w:fill="EAF2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20,6 j</w:t>
            </w:r>
          </w:p>
        </w:tc>
      </w:tr>
    </w:tbl>
    <w:p>
      <w:pPr>
        <w:spacing w:before="60" w:after="40"/>
      </w:pPr>
      <w:r>
        <w:rPr>
          <w:b/>
        </w:rPr>
        <w:t xml:space="preserve">Scénario central : </w:t>
      </w:r>
      <w:r>
        <w:t>82,5 h/mois, soit environ 990 h/an. À un coût chargé de 30 EUR/h, cela représente 2 475 EUR/mois de capacité récupérée.</w:t>
      </w:r>
    </w:p>
    <w:p>
      <w:pPr>
        <w:spacing w:before="100" w:after="40"/>
      </w:pPr>
      <w:r>
        <w:rPr>
          <w:rFonts w:ascii="Aptos Display" w:hAnsi="Aptos Display"/>
          <w:b/>
          <w:color w:val="16324F"/>
          <w:sz w:val="21"/>
        </w:rPr>
        <w:t>Risques couverts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411"/>
        <w:gridCol w:w="5411"/>
      </w:tblGrid>
      <w:tr>
        <w:tc>
          <w:tcPr>
            <w:tcW w:type="dxa" w:w="2835"/>
            <w:shd w:fill="1D70A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Mécanisme niveau 2</w:t>
            </w:r>
          </w:p>
        </w:tc>
        <w:tc>
          <w:tcPr>
            <w:tcW w:type="dxa" w:w="5443"/>
            <w:shd w:fill="1D70A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Risque couvert</w:t>
            </w:r>
          </w:p>
        </w:tc>
      </w:tr>
      <w:tr>
        <w:tc>
          <w:tcPr>
            <w:tcW w:type="dxa" w:w="5411"/>
            <w:shd w:fill="EAF2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6324F"/>
                <w:sz w:val="16"/>
              </w:rPr>
              <w:t>Rapprochement Client - Mail - Fichier</w:t>
            </w:r>
          </w:p>
        </w:tc>
        <w:tc>
          <w:tcPr>
            <w:tcW w:type="dxa" w:w="5411"/>
            <w:shd w:fill="EAF2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Perte de pièces jointes, historique client dispersé et dépendance à la mémoire des équipes.</w:t>
            </w:r>
          </w:p>
        </w:tc>
      </w:tr>
      <w:tr>
        <w:tc>
          <w:tcPr>
            <w:tcW w:type="dxa" w:w="541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6324F"/>
                <w:sz w:val="16"/>
              </w:rPr>
              <w:t>Gmail Message ID et dossier Drive par client</w:t>
            </w:r>
          </w:p>
        </w:tc>
        <w:tc>
          <w:tcPr>
            <w:tcW w:type="dxa" w:w="541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Doublons de classement et fichiers rattachés au mauvais client.</w:t>
            </w:r>
          </w:p>
        </w:tc>
      </w:tr>
      <w:tr>
        <w:tc>
          <w:tcPr>
            <w:tcW w:type="dxa" w:w="5411"/>
            <w:shd w:fill="EAF2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6324F"/>
                <w:sz w:val="16"/>
              </w:rPr>
              <w:t>Statuts et détail erreur Airtable</w:t>
            </w:r>
          </w:p>
        </w:tc>
        <w:tc>
          <w:tcPr>
            <w:tcW w:type="dxa" w:w="5411"/>
            <w:shd w:fill="EAF2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Upload en échec invisible ou traitement bloqué sans possibilité de contrôle.</w:t>
            </w:r>
          </w:p>
        </w:tc>
      </w:tr>
    </w:tbl>
    <w:p>
      <w:pPr>
        <w:spacing w:before="100" w:after="40"/>
      </w:pPr>
      <w:r>
        <w:rPr>
          <w:rFonts w:ascii="Aptos Display" w:hAnsi="Aptos Display"/>
          <w:b/>
          <w:color w:val="16324F"/>
          <w:sz w:val="21"/>
        </w:rPr>
        <w:t>Coût d’exploitation mensuel estimé</w:t>
      </w:r>
    </w:p>
    <w:p>
      <w:pPr>
        <w:spacing w:after="0"/>
      </w:pPr>
      <w:r>
        <w:rPr>
          <w:b/>
        </w:rPr>
        <w:t xml:space="preserve">Hypothèse : </w:t>
      </w:r>
      <w:r>
        <w:t>2 utilisateurs Airtable éditeurs, utilisateurs de consultation en lecture seule, une boîte Gmail dédiée et un petit hébergement avec sauvegarde. n8n Community : 0 EUR ; hébergement et sauvegarde : environ 20 EUR ; Airtable : environ 40 EUR ; Google Workspace : environ 7 EUR. Total indicatif : environ 70 EUR/mois. Les tarifs doivent être confirmés au moment du déploiement.</w:t>
      </w:r>
    </w:p>
    <w:sectPr w:rsidR="00FC693F" w:rsidRPr="0006063C" w:rsidSect="00034616">
      <w:pgSz w:w="12240" w:h="15840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