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Beschlussvorlage 1</w:t>
      </w:r>
    </w:p>
    <w:p>
      <w:r>
        <w:t>Die Stadt Musterhausen beschließt die Satzung über die Erhebung von Gebühren für die</w:t>
      </w:r>
    </w:p>
    <w:p>
      <w:r>
        <w:t>Benutzung der städtischen Kindertagesstätten. Der Gemeinderat hat in seiner Sitzung</w:t>
      </w:r>
    </w:p>
    <w:p>
      <w:r>
        <w:t>die Beschlussvorlage einstimmig angenommen. Die Verwaltung wird beauftragt, die</w:t>
      </w:r>
    </w:p>
    <w:p>
      <w:r>
        <w:t>Elternbeiträge zum Beginn des kommenden Kindergartenjahres anzupassen und die</w:t>
      </w:r>
    </w:p>
    <w:p>
      <w:r>
        <w:t>betroffenen Familien schriftlich über die neuen Gebührensätze zu informieren.</w:t>
      </w:r>
    </w:p>
    <w:p>
      <w:r>
        <w:t>Gegen diesen Bescheid kann innerhalb eines Monats nach Bekanntgabe Widerspruch</w:t>
      </w:r>
    </w:p>
    <w:p>
      <w:r>
        <w:br w:type="page"/>
      </w:r>
    </w:p>
    <w:p>
      <w:pPr>
        <w:pStyle w:val="Heading1"/>
      </w:pPr>
      <w:r>
        <w:t>Beschlussvorlage 2</w:t>
      </w:r>
    </w:p>
    <w:p>
      <w:r>
        <w:t>Die Stadt Musterhausen beschließt die Satzung über die Erhebung von Gebühren für die</w:t>
      </w:r>
    </w:p>
    <w:p>
      <w:r>
        <w:t>Benutzung der städtischen Kindertagesstätten. Der Gemeinderat hat in seiner Sitzung</w:t>
      </w:r>
    </w:p>
    <w:p>
      <w:r>
        <w:t>die Beschlussvorlage einstimmig angenommen. Die Verwaltung wird beauftragt, die</w:t>
      </w:r>
    </w:p>
    <w:p>
      <w:r>
        <w:t>Elternbeiträge zum Beginn des kommenden Kindergartenjahres anzupassen und die</w:t>
      </w:r>
    </w:p>
    <w:p>
      <w:r>
        <w:t>betroffenen Familien schriftlich über die neuen Gebührensätze zu informieren.</w:t>
      </w:r>
    </w:p>
    <w:p>
      <w:r>
        <w:t>Gegen diesen Bescheid kann innerhalb eines Monats nach Bekanntgabe Widerspruch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