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архитектуры</w:t>
      </w:r>
    </w:p>
    <w:p>
      <w:pPr>
        <w:pStyle w:val="Subtitle"/>
        <w:rPr/>
      </w:pPr>
      <w:r>
        <w:rPr/>
        <w:t>Планировщик отпусков 0.4.0 · Платформа, компоненты, решения и план развития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722_1562542824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24_1562542824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26_1562542824">
            <w:r>
              <w:rPr>
                <w:webHidden/>
                <w:rStyle w:val="IndexLink"/>
              </w:rPr>
              <w:t>2.1 Назначение и класс системы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28_1562542824">
            <w:r>
              <w:rPr>
                <w:webHidden/>
                <w:rStyle w:val="IndexLink"/>
              </w:rPr>
              <w:t>2.2 Архитектурные принципы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0_1562542824">
            <w:r>
              <w:rPr>
                <w:webHidden/>
                <w:rStyle w:val="IndexLink"/>
              </w:rPr>
              <w:t>2.3 Показатели кодовой базы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32_1562542824">
            <w:r>
              <w:rPr>
                <w:webHidden/>
                <w:rStyle w:val="IndexLink"/>
              </w:rPr>
              <w:t>3 Контекст системы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34_1562542824">
            <w:r>
              <w:rPr>
                <w:webHidden/>
                <w:rStyle w:val="IndexLink"/>
              </w:rPr>
              <w:t>4 Контейнеры и развёртывание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6_1562542824">
            <w:r>
              <w:rPr>
                <w:webHidden/>
                <w:rStyle w:val="IndexLink"/>
              </w:rPr>
              <w:t>4.1 Состав контейнеров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38_1562542824">
            <w:r>
              <w:rPr>
                <w:webHidden/>
                <w:rStyle w:val="IndexLink"/>
              </w:rPr>
              <w:t>4.2 Поставка и окружения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0_1562542824">
            <w:r>
              <w:rPr>
                <w:webHidden/>
                <w:rStyle w:val="IndexLink"/>
              </w:rPr>
              <w:t>4.3 Масштабирование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42_1562542824">
            <w:r>
              <w:rPr>
                <w:webHidden/>
                <w:rStyle w:val="IndexLink"/>
              </w:rPr>
              <w:t>5 Серверная часть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4_1562542824">
            <w:r>
              <w:rPr>
                <w:webHidden/>
                <w:rStyle w:val="IndexLink"/>
              </w:rPr>
              <w:t>5.1 Слои и компоненты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6_1562542824">
            <w:r>
              <w:rPr>
                <w:webHidden/>
                <w:rStyle w:val="IndexLink"/>
              </w:rPr>
              <w:t>5.2 Ключевые сервисы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48_1562542824">
            <w:r>
              <w:rPr>
                <w:webHidden/>
                <w:rStyle w:val="IndexLink"/>
              </w:rPr>
              <w:t>5.3 Обработка запроса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50_1562542824">
            <w:r>
              <w:rPr>
                <w:webHidden/>
                <w:rStyle w:val="IndexLink"/>
              </w:rPr>
              <w:t>6 Клиентская часть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52_1562542824">
            <w:r>
              <w:rPr>
                <w:webHidden/>
                <w:rStyle w:val="IndexLink"/>
              </w:rPr>
              <w:t>7 Модель данных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4_1562542824">
            <w:r>
              <w:rPr>
                <w:webHidden/>
                <w:rStyle w:val="IndexLink"/>
              </w:rPr>
              <w:t>7.1 Организация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6_1562542824">
            <w:r>
              <w:rPr>
                <w:webHidden/>
                <w:rStyle w:val="IndexLink"/>
              </w:rPr>
              <w:t>7.2 Отпуска и режим работы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58_1562542824">
            <w:r>
              <w:rPr>
                <w:webHidden/>
                <w:rStyle w:val="IndexLink"/>
              </w:rPr>
              <w:t>7.3 Служебные данные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60_1562542824">
            <w:r>
              <w:rPr>
                <w:webHidden/>
                <w:rStyle w:val="IndexLink"/>
              </w:rPr>
              <w:t>7.4 Жизненный цикл заявки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62_1562542824">
            <w:r>
              <w:rPr>
                <w:webHidden/>
                <w:rStyle w:val="IndexLink"/>
              </w:rPr>
              <w:t>8 Ключевые сценарии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64_1562542824">
            <w:r>
              <w:rPr>
                <w:webHidden/>
                <w:rStyle w:val="IndexLink"/>
              </w:rPr>
              <w:t>8.1 Вход и продление сессии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66_1562542824">
            <w:r>
              <w:rPr>
                <w:webHidden/>
                <w:rStyle w:val="IndexLink"/>
              </w:rPr>
              <w:t>8.2 Подача заявки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68_1562542824">
            <w:r>
              <w:rPr>
                <w:webHidden/>
                <w:rStyle w:val="IndexLink"/>
              </w:rPr>
              <w:t>8.3 Согласование и отклонение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70_1562542824">
            <w:r>
              <w:rPr>
                <w:webHidden/>
                <w:rStyle w:val="IndexLink"/>
              </w:rPr>
              <w:t>8.4 Построение графика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72_1562542824">
            <w:r>
              <w:rPr>
                <w:webHidden/>
                <w:rStyle w:val="IndexLink"/>
              </w:rPr>
              <w:t>9 Безопасность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74_1562542824">
            <w:r>
              <w:rPr>
                <w:webHidden/>
                <w:rStyle w:val="IndexLink"/>
              </w:rPr>
              <w:t>9.1 Аутентификация и сессии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76_1562542824">
            <w:r>
              <w:rPr>
                <w:webHidden/>
                <w:rStyle w:val="IndexLink"/>
              </w:rPr>
              <w:t>9.2 Защита запросов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78_1562542824">
            <w:r>
              <w:rPr>
                <w:webHidden/>
                <w:rStyle w:val="IndexLink"/>
              </w:rPr>
              <w:t>9.3 Модель авторизации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80_1562542824">
            <w:r>
              <w:rPr>
                <w:webHidden/>
                <w:rStyle w:val="IndexLink"/>
              </w:rPr>
              <w:t>9.4 Журналирование и аудит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82_1562542824">
            <w:r>
              <w:rPr>
                <w:webHidden/>
                <w:rStyle w:val="IndexLink"/>
              </w:rPr>
              <w:t>10 Программный интерфейс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84_1562542824">
            <w:r>
              <w:rPr>
                <w:webHidden/>
                <w:rStyle w:val="IndexLink"/>
              </w:rPr>
              <w:t>11 Наблюдаемость и эксплуатация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86_1562542824">
            <w:r>
              <w:rPr>
                <w:webHidden/>
                <w:rStyle w:val="IndexLink"/>
              </w:rPr>
              <w:t>12 Технологический стек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88_1562542824">
            <w:r>
              <w:rPr>
                <w:webHidden/>
                <w:rStyle w:val="IndexLink"/>
              </w:rPr>
              <w:t>13 Ключевые решения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90_1562542824">
            <w:r>
              <w:rPr>
                <w:webHidden/>
                <w:rStyle w:val="IndexLink"/>
              </w:rPr>
              <w:t>14 План развития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722_156254282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архитектуру «Планировщика отпусков» версии 0.3.0: назначение и границы системы, состав компонентов и их взаимодействие, модель данных, программный интерфейс, механизмы безопасности, развёртывание, эксплуатацию и план развития. Документ предназначен для архитекторов, разработчиков, инженеров сопровождения и службы информационной безопасности.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было в прототипе и что стало целевым составом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 v1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Протокол, каталог операций и ошибок, матрица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Версии, эпики и истории с критериями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— Модель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Сущности, словарь данных, инварианты, миграции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Окружения, конвейеры, порядок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— SBOM и лицензии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сторонних компонентов для реестра отечественного ПО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Установка, обновление, резервное копирование</w:t>
            </w:r>
          </w:p>
        </w:tc>
      </w:tr>
    </w:tbl>
    <w:p>
      <w:pPr>
        <w:pStyle w:val="BodyText"/>
        <w:rPr/>
      </w:pPr>
      <w:r>
        <w:rPr/>
        <w:t xml:space="preserve">Источники истины, на которые опирается документ: контракт </w:t>
      </w:r>
      <w:r>
        <w:rPr>
          <w:rStyle w:val="VerbatimChar"/>
        </w:rPr>
        <w:t>contracts/openapi-vacation-api-v1.yaml</w:t>
      </w:r>
      <w:r>
        <w:rPr/>
        <w:t xml:space="preserve">, схема </w:t>
      </w:r>
      <w:r>
        <w:rPr>
          <w:rStyle w:val="VerbatimChar"/>
        </w:rPr>
        <w:t>server/prisma/schema.prisma</w:t>
      </w:r>
      <w:r>
        <w:rPr/>
        <w:t xml:space="preserve"> и исходный код ветки </w:t>
      </w:r>
      <w:r>
        <w:rPr>
          <w:rStyle w:val="VerbatimChar"/>
        </w:rPr>
        <w:t>v0.4.0</w:t>
      </w:r>
      <w:r>
        <w:rPr/>
        <w:t>. Показатели кодовой базы ниже сформированы автоматически (</w:t>
      </w:r>
      <w:r>
        <w:rPr>
          <w:rStyle w:val="VerbatimChar"/>
        </w:rPr>
        <w:t>tools/docs/gen_tables.py</w:t>
      </w:r>
      <w:r>
        <w:rPr/>
        <w:t>), а соответствие контракта и реализации проверяется тестом в CI.</w:t>
      </w:r>
      <w:bookmarkEnd w:id="1"/>
    </w:p>
    <w:p>
      <w:pPr>
        <w:pStyle w:val="Heading1"/>
        <w:rPr/>
      </w:pPr>
      <w:bookmarkStart w:id="2" w:name="__RefHeading___Toc3724_1562542824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p>
      <w:pPr>
        <w:pStyle w:val="Heading2"/>
        <w:rPr/>
      </w:pPr>
      <w:bookmarkStart w:id="3" w:name="__RefHeading___Toc3726_1562542824"/>
      <w:bookmarkStart w:id="4" w:name="назначение-и-класс-системы"/>
      <w:bookmarkEnd w:id="3"/>
      <w:r>
        <w:rPr>
          <w:rStyle w:val="SectionNumber"/>
        </w:rPr>
        <w:t>2.1</w:t>
      </w:r>
      <w:r>
        <w:rPr/>
        <w:tab/>
        <w:t>Назначение и класс системы</w:t>
      </w:r>
    </w:p>
    <w:p>
      <w:pPr>
        <w:pStyle w:val="FirstParagraph"/>
        <w:rPr/>
      </w:pPr>
      <w:r>
        <w:rPr/>
        <w:t>«Планировщик отпусков» — корпоративное веб-приложение для планирования и согласования ежегодных отпусков. Оно ведёт график отпусков всей организации, заявки сотрудников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всех изменений.</w:t>
      </w:r>
    </w:p>
    <w:p>
      <w:pPr>
        <w:pStyle w:val="BodyText"/>
        <w:rPr/>
      </w:pPr>
      <w:r>
        <w:rPr/>
        <w:t xml:space="preserve">По архитектурному типу это </w:t>
      </w:r>
      <w:r>
        <w:rPr>
          <w:b/>
          <w:bCs/>
        </w:rPr>
        <w:t>клиент-серверное веб-приложение</w:t>
      </w:r>
      <w:r>
        <w:rPr/>
        <w:t>: одностраничный клиент (SPA) и REST API, устанавливаемые на серверы организации (on-premise) в контейнерах Docker. Целевой масштаб — от 1000 до 5000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1840"/>
            <wp:effectExtent l="0" t="0" r="0" b="0"/>
            <wp:docPr id="1" name="Picture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" w:name="назначение-и-класс-системы"/>
      <w:r>
        <w:rPr/>
        <w:t>Роли и их возможности</w:t>
      </w:r>
      <w:bookmarkEnd w:id="5"/>
    </w:p>
    <w:p>
      <w:pPr>
        <w:pStyle w:val="Heading2"/>
        <w:rPr/>
      </w:pPr>
      <w:bookmarkStart w:id="6" w:name="__RefHeading___Toc3728_1562542824"/>
      <w:bookmarkStart w:id="7" w:name="архитектурные-принципы"/>
      <w:bookmarkEnd w:id="6"/>
      <w:r>
        <w:rPr>
          <w:rStyle w:val="SectionNumber"/>
        </w:rPr>
        <w:t>2.2</w:t>
      </w:r>
      <w:r>
        <w:rPr/>
        <w:tab/>
        <w:t>Архитектурные принципы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Сервер решает, клиент показывает.</w:t>
      </w:r>
      <w:r>
        <w:rPr/>
        <w:t xml:space="preserve"> Правила (конечный автомат заявки, балансы, лимиты, права, конфликты) реализованы только в серверных сервисах. Проверки в клиенте — подсказки для удобства, а не защита.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прежде кода.</w:t>
      </w:r>
      <w:r>
        <w:rPr/>
        <w:t xml:space="preserve"> REST API v1 описан в </w:t>
      </w:r>
      <w:r>
        <w:rPr>
          <w:rStyle w:val="VerbatimChar"/>
        </w:rPr>
        <w:t>contracts/</w:t>
      </w:r>
      <w:r>
        <w:rPr/>
        <w:t xml:space="preserve"> и меняется через ревью владельца; тест сверки в CI не даёт реализации и контракту разойтись.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Одна операция — одна транзакция.</w:t>
      </w:r>
      <w:r>
        <w:rPr/>
        <w:t xml:space="preserve"> Изменение данных, запись в историю заявки, журнал аудита и уведомления фиксируются в одной транзакции PostgreSQL.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Чистые вычисления отдельно от ввода-вывода.</w:t>
      </w:r>
      <w:r>
        <w:rPr/>
        <w:t xml:space="preserve"> Баланс, интервалы и аналитика пересечений — модули без БД и без «текущего времени»: их проверяют модульные тесты, а дата расчёта передаётся аргументом.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Никаких временных решений.</w:t>
      </w:r>
      <w:r>
        <w:rPr/>
        <w:t xml:space="preserve"> Зрелый стек с первой версии: PostgreSQL, TypeScript strict, контейнеры, миграции, CI с e2e-тестами.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Зависимости — под контролем.</w:t>
      </w:r>
      <w:r>
        <w:rPr/>
        <w:t xml:space="preserve"> Каждая новая библиотека обосновывается в </w:t>
      </w:r>
      <w:r>
        <w:rPr>
          <w:rStyle w:val="VerbatimChar"/>
        </w:rPr>
        <w:t>docs/decisions.md</w:t>
      </w:r>
      <w:r>
        <w:rPr/>
        <w:t xml:space="preserve"> и проходит лицензионный гейт SBOM: copyleft и неизвестные лицензии блокируют слияние.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Секреты — только в окружении.</w:t>
      </w:r>
      <w:r>
        <w:rPr/>
        <w:t xml:space="preserve"> В репозитории нет паролей и ключей; сервер не стартует со слабым </w:t>
      </w:r>
      <w:r>
        <w:rPr>
          <w:rStyle w:val="VerbatimChar"/>
        </w:rPr>
        <w:t>JWT_SECRET</w:t>
      </w:r>
      <w:r>
        <w:rPr/>
        <w:t>.</w:t>
      </w:r>
      <w:bookmarkEnd w:id="7"/>
    </w:p>
    <w:p>
      <w:pPr>
        <w:pStyle w:val="Heading2"/>
        <w:rPr/>
      </w:pPr>
      <w:bookmarkStart w:id="8" w:name="__RefHeading___Toc3730_1562542824"/>
      <w:bookmarkEnd w:id="8"/>
      <w:r>
        <w:rPr>
          <w:rStyle w:val="SectionNumber"/>
        </w:rPr>
        <w:t>2.3</w:t>
      </w:r>
      <w:r>
        <w:rPr/>
        <w:tab/>
        <w:t>Показатели кодовой базы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файлов TypeScript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55 / 4 635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контроллеров / операций API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/ 55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данных: таблиц / миграций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16 / 5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файлов TS и Vue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39 / 10 311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экранов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сервера: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12 / 104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клиента (модульные и e2e):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/ 33</w:t>
            </w:r>
            <w:bookmarkStart w:id="9" w:name="общие-сведения"/>
            <w:bookmarkStart w:id="10" w:name="показатели-кодовой-базы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3732_1562542824"/>
      <w:bookmarkEnd w:id="11"/>
      <w:r>
        <w:rPr>
          <w:rStyle w:val="SectionNumber"/>
        </w:rPr>
        <w:t>3</w:t>
      </w:r>
      <w:r>
        <w:rPr/>
        <w:tab/>
        <w:t>Контекст системы</w:t>
      </w:r>
    </w:p>
    <w:p>
      <w:pPr>
        <w:pStyle w:val="FirstParagraph"/>
        <w:rPr/>
      </w:pPr>
      <w:r>
        <w:rPr/>
        <w:t>Пользователи работают с системой через браузер по HTTPS. Внешние системы организации подключаются по мере развития (пунктир — плановые интеграции версии 0.4).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2" name="Image2" descr="Диаграмма контекста (уровень 1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Диаграмма контекста (уровень 1 C4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контекста (уровень 1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Участник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Взаимодействие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Планирует отпуск, подаёт и переносит заявки, смотрит график отдела и свой график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подчинённых, видит пересечения и аналитику отдела, ведёт режим работы команды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и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производственный календарь, правила организации, журнал аудита,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Опрашивает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 жив)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(доступна БД)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Почтовый релей, кадровая система, AD/OIDC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интеграции: письма о решениях, импорт сотрудников и остатков, единый вход</w:t>
            </w:r>
          </w:p>
        </w:tc>
      </w:tr>
    </w:tbl>
    <w:p>
      <w:pPr>
        <w:pStyle w:val="Heading1"/>
        <w:rPr/>
      </w:pPr>
      <w:bookmarkStart w:id="12" w:name="__RefHeading___Toc3734_1562542824"/>
      <w:bookmarkEnd w:id="12"/>
      <w:r>
        <w:rPr>
          <w:rStyle w:val="SectionNumber"/>
        </w:rPr>
        <w:t>4</w:t>
      </w:r>
      <w:r>
        <w:rPr/>
        <w:tab/>
        <w:t>Контейнеры и развёртывание</w:t>
      </w:r>
    </w:p>
    <w:p>
      <w:pPr>
        <w:pStyle w:val="Heading2"/>
        <w:rPr/>
      </w:pPr>
      <w:bookmarkStart w:id="13" w:name="__RefHeading___Toc3736_1562542824"/>
      <w:bookmarkStart w:id="14" w:name="состав-контейнеров"/>
      <w:bookmarkEnd w:id="13"/>
      <w:r>
        <w:rPr>
          <w:rStyle w:val="SectionNumber"/>
        </w:rPr>
        <w:t>4.1</w:t>
      </w:r>
      <w:r>
        <w:rPr/>
        <w:tab/>
        <w:t>Состав контейнеров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089265"/>
            <wp:effectExtent l="0" t="0" r="0" b="0"/>
            <wp:docPr id="3" name="Image3" descr="Диаграмма контейнеров (уровень 2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Диаграмма контейнеров (уровень 2 C4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контейнеров (уровень 2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Контейнер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nginx 1.27 + статическая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Отдаёт SPA с CSP и заголовками безопасности, кеширует хешированные ассеты, проксирует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20, NestJS 11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REST API v1, бизнес-логика, миграции Prisma при старте контейнера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Все данные;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 (по умолчанию раз в сутки), ротация копий 14 дней;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</w:p>
        </w:tc>
      </w:tr>
    </w:tbl>
    <w:p>
      <w:pPr>
        <w:pStyle w:val="BodyText"/>
        <w:rPr/>
      </w:pPr>
      <w:bookmarkStart w:id="15" w:name="состав-контейнеров"/>
      <w:r>
        <w:rPr/>
        <w:t>Перед стендом ставится обратный прокси организации с TLS (nginx или Caddy). Состояние сессий в сервере не хранится: access-токен — JWT, refresh-токены — в таблице PostgreSQL, поэтому сервер масштабируется горизонтально без «липких» сессий.</w:t>
      </w:r>
      <w:bookmarkEnd w:id="15"/>
    </w:p>
    <w:p>
      <w:pPr>
        <w:pStyle w:val="Heading2"/>
        <w:rPr/>
      </w:pPr>
      <w:bookmarkStart w:id="16" w:name="__RefHeading___Toc3738_1562542824"/>
      <w:bookmarkStart w:id="17" w:name="поставка-и-окружения"/>
      <w:bookmarkEnd w:id="16"/>
      <w:r>
        <w:rPr>
          <w:rStyle w:val="SectionNumber"/>
        </w:rPr>
        <w:t>4.2</w:t>
      </w:r>
      <w:r>
        <w:rPr/>
        <w:tab/>
        <w:t>Поставка и окружения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005"/>
            <wp:effectExtent l="0" t="0" r="0" b="0"/>
            <wp:docPr id="4" name="Image4" descr="Поставка: от рабочего места до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Поставка: от рабочего места до стенд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Поставка: от рабочего места до стенда</w:t>
      </w:r>
    </w:p>
    <w:p>
      <w:pPr>
        <w:pStyle w:val="BodyText"/>
        <w:rPr/>
      </w:pPr>
      <w:r>
        <w:rPr/>
        <w:t xml:space="preserve">Код ведётся в двух репозиториях-зеркалах: GitHub (публичный) и Gitea организации. Оба запускают одинаковый набор проверок; в Gitea после зелёных проверок раннер </w:t>
      </w:r>
      <w:r>
        <w:rPr>
          <w:rStyle w:val="VerbatimChar"/>
        </w:rPr>
        <w:t>deploy</w:t>
      </w:r>
      <w:r>
        <w:rPr/>
        <w:t xml:space="preserve"> разворачивает стенд (</w:t>
      </w:r>
      <w:r>
        <w:rPr>
          <w:rStyle w:val="VerbatimChar"/>
        </w:rPr>
        <w:t>docker compose -p vacation-planner up -d --build</w:t>
      </w:r>
      <w:r>
        <w:rPr/>
        <w:t>) и выполняет дымовые пробы. Подробно — документ 7.</w:t>
      </w:r>
      <w:bookmarkEnd w:id="17"/>
    </w:p>
    <w:p>
      <w:pPr>
        <w:pStyle w:val="Heading2"/>
        <w:rPr/>
      </w:pPr>
      <w:bookmarkStart w:id="18" w:name="__RefHeading___Toc3740_1562542824"/>
      <w:bookmarkEnd w:id="18"/>
      <w:r>
        <w:rPr>
          <w:rStyle w:val="SectionNumber"/>
        </w:rPr>
        <w:t>4.3</w:t>
      </w:r>
      <w:r>
        <w:rPr/>
        <w:tab/>
        <w:t>Масштабирование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сервер: 2 vCPU, 4 ГБ ОЗУ, PostgreSQL в том же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Вынести PostgreSQL на отдельный узел; 2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балансировщиком; размер пула Prisma задаётся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счётчики лимита входа — в общий стор (v0.5)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Пики начала дня (×5)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Тяжёлые чтения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аналитика) ограничены периодом ≤ 370–400 дней и фильтром по отделу; клиент кэширует праздники на сессию</w:t>
            </w:r>
            <w:bookmarkStart w:id="19" w:name="масштабирование"/>
            <w:bookmarkEnd w:id="19"/>
          </w:p>
        </w:tc>
      </w:tr>
    </w:tbl>
    <w:p>
      <w:pPr>
        <w:pStyle w:val="Heading1"/>
        <w:rPr/>
      </w:pPr>
      <w:bookmarkStart w:id="20" w:name="__RefHeading___Toc3742_1562542824"/>
      <w:bookmarkEnd w:id="20"/>
      <w:r>
        <w:rPr>
          <w:rStyle w:val="SectionNumber"/>
        </w:rPr>
        <w:t>5</w:t>
      </w:r>
      <w:r>
        <w:rPr/>
        <w:tab/>
        <w:t>Серверная часть</w:t>
      </w:r>
    </w:p>
    <w:p>
      <w:pPr>
        <w:pStyle w:val="Heading2"/>
        <w:rPr/>
      </w:pPr>
      <w:bookmarkStart w:id="21" w:name="__RefHeading___Toc3744_1562542824"/>
      <w:bookmarkEnd w:id="21"/>
      <w:r>
        <w:rPr>
          <w:rStyle w:val="SectionNumber"/>
        </w:rPr>
        <w:t>5.1</w:t>
      </w:r>
      <w:r>
        <w:rPr/>
        <w:tab/>
        <w:t>Слои и компоненты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39490"/>
            <wp:effectExtent l="0" t="0" r="0" b="0"/>
            <wp:docPr id="5" name="Image5" descr="Слои сервера (уровень 3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лои сервера (уровень 3 C4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сервера (уровень 3 C4)</w:t>
      </w:r>
    </w:p>
    <w:p>
      <w:pPr>
        <w:pStyle w:val="BodyText"/>
        <w:rPr/>
      </w:pPr>
      <w:r>
        <w:rPr/>
        <w:t xml:space="preserve">Сервер — модульный монолит NestJS: каждый домен в каталоге </w:t>
      </w:r>
      <w:r>
        <w:rPr>
          <w:rStyle w:val="VerbatimChar"/>
        </w:rPr>
        <w:t>server/src/&lt;домен&gt;/</w:t>
      </w:r>
      <w:r>
        <w:rPr/>
        <w:t xml:space="preserve"> содержит тонкий контроллер (DTO-валидация, вызов сервиса) и сервис с логикой.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Модуль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 OIDC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выход, обновление и смена пароля, личные настройки;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(JWT HS256), глобальные guards, ограничение частоты входа;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служебные роли (администратор, кадровая служба)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app.setup.ts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Общая настройка HTTP: trust proxy, cookie, заголовки, валидация — одна для продакшена и тестов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логины и одноразовые пароли, балансы, режим работы (шаблон и исключения)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Заявки: конечный автомат, пересечения, лимиты, перенос и удаление;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 баланса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за период с конфликтами отделов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analytics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Нагрузка отделов, периоды конфликтов, выводы руководителю, подбор дат;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directories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личные группы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календарь: праздники ст. 112 и переносы выходных; правка кадровой службой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Импорт сотрудников и остатков из XLSX/CSV и JSON;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чистая функция плана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(outbox в транзакции события), фоновая отправка с повторами, еженедельная сводка руководителям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settings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организации: порог конфликта, политика лимита, норма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в интерфейсе и постановка писем в очередь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Неизменяемый журнал; запись только внутри транзакции изменения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в XLSX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health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infra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ProblemException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фильтр RFC 9457</w:t>
            </w:r>
            <w:bookmarkStart w:id="22" w:name="слои-и-компоненты"/>
            <w:bookmarkEnd w:id="22"/>
          </w:p>
        </w:tc>
      </w:tr>
    </w:tbl>
    <w:p>
      <w:pPr>
        <w:pStyle w:val="Heading2"/>
        <w:rPr/>
      </w:pPr>
      <w:bookmarkStart w:id="23" w:name="__RefHeading___Toc3746_1562542824"/>
      <w:bookmarkEnd w:id="23"/>
      <w:r>
        <w:rPr>
          <w:rStyle w:val="SectionNumber"/>
        </w:rPr>
        <w:t>5.2</w:t>
      </w:r>
      <w:r>
        <w:rPr/>
        <w:tab/>
        <w:t>Ключевые сервисы</w:t>
      </w:r>
    </w:p>
    <w:p>
      <w:pPr>
        <w:pStyle w:val="FirstParagraph"/>
        <w:rPr/>
      </w:pPr>
      <w:r>
        <w:rPr>
          <w:b/>
          <w:bCs/>
        </w:rPr>
        <w:t>RequestsService</w:t>
      </w:r>
      <w:r>
        <w:rPr/>
        <w:t xml:space="preserve"> реализует жизненный цикл заявки. Создание проверяет права (за себя, за подчинённого, администратор), даты (формат, порядок, не в прошлом), пересечения с собственными заявками и лимит дней. Заявка, оформленная руководителем за подчинённого, сразу согласована. Перенос согласованного отпуска переводит заявку на согласование с сохранением прежних дат в </w:t>
      </w:r>
      <w:r>
        <w:rPr>
          <w:rStyle w:val="VerbatimChar"/>
        </w:rPr>
        <w:t>change_from_*</w:t>
      </w:r>
      <w:r>
        <w:rPr/>
        <w:t xml:space="preserve">; отклонение переноса возвращает прежние даты. Запрос удаления помечает заявку </w:t>
      </w:r>
      <w:r>
        <w:rPr>
          <w:rStyle w:val="VerbatimChar"/>
        </w:rPr>
        <w:t>pending_deletion</w:t>
      </w:r>
      <w:r>
        <w:rPr/>
        <w:t>; согласование удаляет её, а событие остаётся в истории и аудите.</w:t>
      </w:r>
    </w:p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считается по правилам ТК РФ: праздничные нерабочие дни внутри отпуска не входят в число дней отпуска (ст. 120), одна из частей должна быть не короче 14 календарных дней (ст. 125). Доступно для планирования = норма + перенос − согласованные дни − дни на согласовании. При жёсткой политике лимита сервер отклоняет заявку сверх доступного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AnalyticsService</w:t>
      </w:r>
      <w:r>
        <w:rPr/>
        <w:t xml:space="preserve"> строит аналитику отдела на чистых функциях </w:t>
      </w:r>
      <w:r>
        <w:rPr>
          <w:rStyle w:val="VerbatimChar"/>
        </w:rPr>
        <w:t>coverage.ts</w:t>
      </w:r>
      <w:r>
        <w:rPr/>
        <w:t>:</w:t>
      </w:r>
    </w:p>
    <w:p>
      <w:pPr>
        <w:pStyle w:val="Compact"/>
        <w:numPr>
          <w:ilvl w:val="0"/>
          <w:numId w:val="2"/>
        </w:numPr>
        <w:rPr/>
      </w:pPr>
      <w:r>
        <w:rPr/>
        <w:t>доля отдела в отпуске по месяцам (только рабочие дни; отдельно — с учётом заявок на согласовании);</w:t>
      </w:r>
    </w:p>
    <w:p>
      <w:pPr>
        <w:pStyle w:val="Compact"/>
        <w:numPr>
          <w:ilvl w:val="0"/>
          <w:numId w:val="2"/>
        </w:numPr>
        <w:rPr/>
      </w:pPr>
      <w:r>
        <w:rPr/>
        <w:t>периоды конфликтов, когда в отпуске не меньше порога отдела (выходные не разрывают период);</w:t>
      </w:r>
    </w:p>
    <w:p>
      <w:pPr>
        <w:pStyle w:val="Compact"/>
        <w:numPr>
          <w:ilvl w:val="0"/>
          <w:numId w:val="2"/>
        </w:numPr>
        <w:rPr/>
      </w:pPr>
      <w:r>
        <w:rPr/>
        <w:t>выводы руководителю: ближайшие конфликты, пиковый и самый спокойный месяц, нераспределённые дни, сотрудники без части в 14 дней, риски малочисленного отдела;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подбор дат</w:t>
      </w:r>
      <w:r>
        <w:rPr/>
        <w:t>: для заданной длины отпуска перебираются окна периода поиска; окно продлевается на праздники, окна с превышением порога и пересечением с собственными отпусками исключаются, остальные ранжируются по нагрузке на отдел, бонусу за праздники внутри и старту в понедельник; выдаётся до пяти непересекающихся вариантов с объяснением.</w:t>
      </w:r>
    </w:p>
    <w:p>
      <w:pPr>
        <w:pStyle w:val="FirstParagraph"/>
        <w:rPr/>
      </w:pPr>
      <w:r>
        <w:rPr>
          <w:b/>
          <w:bCs/>
        </w:rPr>
        <w:t>ImportsService</w:t>
      </w:r>
      <w:r>
        <w:rPr/>
        <w:t xml:space="preserve"> строит план импорта той же чистой функцией для предпросмотра и применения: строка сопоставляется с сотрудником по логину, без логина — по ФИО; новые сотрудники получают логин транслитом, новые отделы создаются, руководитель может быть создан этим же файлом. Пустая ячейка значение не меняет, поэтому повторная загрузка того же файла ничего не меняет. Применение — одна транзакция с аудитом каждой записи и только при отсутствии ошибок в плане.</w:t>
      </w:r>
    </w:p>
    <w:p>
      <w:pPr>
        <w:pStyle w:val="BodyText"/>
        <w:rPr/>
      </w:pPr>
      <w:r>
        <w:rPr>
          <w:b/>
          <w:bCs/>
        </w:rPr>
        <w:t>MailService</w:t>
      </w:r>
      <w:r>
        <w:rPr/>
        <w:t xml:space="preserve"> реализует шаблон outbox: письмо пишется в таблицу </w:t>
      </w:r>
      <w:r>
        <w:rPr>
          <w:rStyle w:val="VerbatimChar"/>
        </w:rPr>
        <w:t>email_outbox</w:t>
      </w:r>
      <w:r>
        <w:rPr/>
        <w:t xml:space="preserve"> в той же транзакции, что и уведомление, и отправляется фоном. Письма разбираются с </w:t>
      </w:r>
      <w:r>
        <w:rPr>
          <w:rStyle w:val="VerbatimChar"/>
        </w:rPr>
        <w:t>FOR UPDATE SKIP LOCKED</w:t>
      </w:r>
      <w:r>
        <w:rPr/>
        <w:t xml:space="preserve"> и арендой на 5 минут, поэтому несколько экземпляров сервера не отправят письмо дважды, а упавший процесс не удерживает его. Неудачная отправка повторяется через 1, 5, 30 минут, 2 и 12 часов. Еженедельная сводка запускается один раз за неделю — по строке </w:t>
      </w:r>
      <w:r>
        <w:rPr>
          <w:rStyle w:val="VerbatimChar"/>
        </w:rPr>
        <w:t>job_runs</w:t>
      </w:r>
      <w:r>
        <w:rPr/>
        <w:t>.</w:t>
      </w:r>
    </w:p>
    <w:p>
      <w:pPr>
        <w:pStyle w:val="Heading2"/>
        <w:rPr/>
      </w:pPr>
      <w:bookmarkStart w:id="24" w:name="__RefHeading___Toc3748_1562542824"/>
      <w:bookmarkStart w:id="25" w:name="обработка-запроса"/>
      <w:bookmarkEnd w:id="24"/>
      <w:r>
        <w:rPr>
          <w:rStyle w:val="SectionNumber"/>
        </w:rPr>
        <w:t>5.3</w:t>
      </w:r>
      <w:r>
        <w:rPr/>
        <w:tab/>
        <w:t>Обработка запроса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35380"/>
            <wp:effectExtent l="0" t="0" r="0" b="0"/>
            <wp:docPr id="6" name="Image6" descr="Маршрут запроса через защиту и валидац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аршрут запроса через защиту и валидацию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Маршрут запроса через защиту и валидацию</w:t>
      </w:r>
    </w:p>
    <w:p>
      <w:pPr>
        <w:pStyle w:val="BodyText"/>
        <w:rPr/>
      </w:pPr>
      <w:r>
        <w:rPr/>
        <w:t xml:space="preserve">Каждый запрос </w:t>
      </w:r>
      <w:r>
        <w:rPr>
          <w:rStyle w:val="VerbatimChar"/>
        </w:rPr>
        <w:t>/api/v1/*</w:t>
      </w:r>
      <w:r>
        <w:rPr/>
        <w:t xml:space="preserve"> проходит ограничение частоты (для входа), глобальную аутентификацию (кроме маршрутов </w:t>
      </w:r>
      <w:r>
        <w:rPr>
          <w:rStyle w:val="VerbatimChar"/>
        </w:rPr>
        <w:t>@Public()</w:t>
      </w:r>
      <w:r>
        <w:rPr/>
        <w:t xml:space="preserve">), сверку версии пароля в токене (смена пароля мгновенно отзывает все токены), проверку роли и DTO-валидацию с </w:t>
      </w:r>
      <w:r>
        <w:rPr>
          <w:rStyle w:val="VerbatimChar"/>
        </w:rPr>
        <w:t>whitelist</w:t>
      </w:r>
      <w:r>
        <w:rPr/>
        <w:t xml:space="preserve">. Права на конкретный объект (своя заявка, подчинённый) проверяет сервис. Ошибка любого уровня возвращается как </w:t>
      </w:r>
      <w:r>
        <w:rPr>
          <w:rStyle w:val="VerbatimChar"/>
        </w:rPr>
        <w:t>application/problem+json</w:t>
      </w:r>
      <w:r>
        <w:rPr/>
        <w:t xml:space="preserve"> с кодом из каталога (документ 2).</w:t>
      </w:r>
      <w:bookmarkEnd w:id="25"/>
    </w:p>
    <w:p>
      <w:pPr>
        <w:pStyle w:val="Heading1"/>
        <w:rPr/>
      </w:pPr>
      <w:bookmarkStart w:id="26" w:name="__RefHeading___Toc3750_1562542824"/>
      <w:bookmarkStart w:id="27" w:name="клиентская-часть"/>
      <w:bookmarkEnd w:id="26"/>
      <w:r>
        <w:rPr>
          <w:rStyle w:val="SectionNumber"/>
        </w:rPr>
        <w:t>6</w:t>
      </w:r>
      <w:r>
        <w:rPr/>
        <w:tab/>
        <w:t>Клиентская часть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7" name="Image7" descr="Слои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Слои клиен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клиента</w:t>
      </w:r>
    </w:p>
    <w:p>
      <w:pPr>
        <w:pStyle w:val="BodyText"/>
        <w:rPr/>
      </w:pPr>
      <w:r>
        <w:rPr/>
        <w:t xml:space="preserve">Клиент — Vue 3 + TypeScript strict + Vite + Pinia без сторонних UI-библиотек: дизайн-система (токены, иконки, паттерны) общая с внутренними продуктами todo-planner и almi_license. Единственный модуль, обращающийся к сети, — </w:t>
      </w:r>
      <w:r>
        <w:rPr>
          <w:rStyle w:val="VerbatimChar"/>
        </w:rPr>
        <w:t>web/src/api/client.ts</w:t>
      </w:r>
      <w:r>
        <w:rPr/>
        <w:t xml:space="preserve">: он добавляет Bearer-токен, при </w:t>
      </w:r>
      <w:r>
        <w:rPr>
          <w:rStyle w:val="VerbatimChar"/>
        </w:rPr>
        <w:t>401</w:t>
      </w:r>
      <w:r>
        <w:rPr/>
        <w:t xml:space="preserve"> один раз обновляет его по httpOnly-cookie (параллельные запросы ждут общий результат обновления, иначе ротация отозвала бы токен) и превращает problem+json в </w:t>
      </w:r>
      <w:r>
        <w:rPr>
          <w:rStyle w:val="VerbatimChar"/>
        </w:rPr>
        <w:t>ApiError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Гант года: масштабы год/квартал/месяц, группы отделов, выходные и праздники, линия «сегодня», полоса нагрузки, слой удалёнки, сравнение выбранных сотрудников, выгрузка в Excel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с разбивкой, ближайший отпуск, год одним взглядом, заявка с подбором дат, перенос и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года: выводы, нагрузка по месяцам, конфликты,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и разовые исключения на календаре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с пересечениями в отделе, отклонение с причиной, оформление отпуска за подчинённого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 и производственный календарь, правила организации, журнал аудита</w:t>
            </w:r>
          </w:p>
        </w:tc>
      </w:tr>
    </w:tbl>
    <w:p>
      <w:pPr>
        <w:pStyle w:val="BodyText"/>
        <w:rPr/>
      </w:pPr>
      <w:bookmarkStart w:id="28" w:name="клиентская-часть"/>
      <w:r>
        <w:rPr/>
        <w:t>Тема оформления — светлая, тёмная или по настройке системы; интерфейс адаптирован до ширины 360 px.</w:t>
      </w:r>
      <w:bookmarkEnd w:id="28"/>
    </w:p>
    <w:p>
      <w:pPr>
        <w:pStyle w:val="Heading1"/>
        <w:rPr/>
      </w:pPr>
      <w:bookmarkStart w:id="29" w:name="__RefHeading___Toc3752_1562542824"/>
      <w:bookmarkStart w:id="30" w:name="модель-данных"/>
      <w:bookmarkEnd w:id="29"/>
      <w:r>
        <w:rPr>
          <w:rStyle w:val="SectionNumber"/>
        </w:rPr>
        <w:t>7</w:t>
      </w:r>
      <w:r>
        <w:rPr/>
        <w:tab/>
        <w:t>Модель данных</w:t>
      </w:r>
    </w:p>
    <w:p>
      <w:pPr>
        <w:pStyle w:val="FirstParagraph"/>
        <w:rPr/>
      </w:pPr>
      <w:r>
        <w:rPr/>
        <w:t xml:space="preserve">Схема описана в </w:t>
      </w:r>
      <w:r>
        <w:rPr>
          <w:rStyle w:val="VerbatimChar"/>
        </w:rPr>
        <w:t>server/prisma/schema.prisma</w:t>
      </w:r>
      <w:r>
        <w:rPr/>
        <w:t xml:space="preserve"> (14 таблиц PostgreSQL); полный словарь данных и инварианты — документ 4.</w:t>
      </w:r>
    </w:p>
    <w:p>
      <w:pPr>
        <w:pStyle w:val="Heading2"/>
        <w:rPr/>
      </w:pPr>
      <w:bookmarkStart w:id="31" w:name="__RefHeading___Toc3754_1562542824"/>
      <w:bookmarkStart w:id="32" w:name="организация"/>
      <w:bookmarkEnd w:id="31"/>
      <w:r>
        <w:rPr>
          <w:rStyle w:val="SectionNumber"/>
        </w:rPr>
        <w:t>7.1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554720"/>
            <wp:effectExtent l="0" t="0" r="0" b="0"/>
            <wp:docPr id="8" name="Image8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5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" w:name="организация"/>
      <w:r>
        <w:rPr/>
        <w:t>ER: сотрудники, отделы, проекты, группы</w:t>
      </w:r>
      <w:bookmarkEnd w:id="33"/>
    </w:p>
    <w:p>
      <w:pPr>
        <w:pStyle w:val="Heading2"/>
        <w:rPr/>
      </w:pPr>
      <w:bookmarkStart w:id="34" w:name="__RefHeading___Toc3756_1562542824"/>
      <w:bookmarkStart w:id="35" w:name="отпуска-и-режим-работы"/>
      <w:bookmarkEnd w:id="34"/>
      <w:r>
        <w:rPr>
          <w:rStyle w:val="SectionNumber"/>
        </w:rPr>
        <w:t>7.2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03880"/>
            <wp:effectExtent l="0" t="0" r="0" b="0"/>
            <wp:docPr id="9" name="Image9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отпуска-и-режим-работы"/>
      <w:r>
        <w:rPr/>
        <w:t>ER: заявки, история, уведомления, режим работы</w:t>
      </w:r>
      <w:bookmarkEnd w:id="36"/>
    </w:p>
    <w:p>
      <w:pPr>
        <w:pStyle w:val="Heading2"/>
        <w:rPr/>
      </w:pPr>
      <w:bookmarkStart w:id="37" w:name="__RefHeading___Toc3758_1562542824"/>
      <w:bookmarkStart w:id="38" w:name="служебные-данные"/>
      <w:bookmarkEnd w:id="37"/>
      <w:r>
        <w:rPr>
          <w:rStyle w:val="SectionNumber"/>
        </w:rPr>
        <w:t>7.3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848485"/>
            <wp:effectExtent l="0" t="0" r="0" b="0"/>
            <wp:docPr id="10" name="Image10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служебные-данные"/>
      <w:r>
        <w:rPr/>
        <w:t>ER: аудит, сессии, настройки, календарь</w:t>
      </w:r>
      <w:bookmarkEnd w:id="39"/>
    </w:p>
    <w:p>
      <w:pPr>
        <w:pStyle w:val="Heading2"/>
        <w:rPr/>
      </w:pPr>
      <w:bookmarkStart w:id="40" w:name="__RefHeading___Toc3760_1562542824"/>
      <w:bookmarkStart w:id="41" w:name="жизненный-цикл-заявки"/>
      <w:bookmarkEnd w:id="40"/>
      <w:r>
        <w:rPr>
          <w:rStyle w:val="SectionNumber"/>
        </w:rPr>
        <w:t>7.4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11" name="Image11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2" w:name="модель-данных"/>
      <w:bookmarkStart w:id="43" w:name="жизненный-цикл-заявки"/>
      <w:r>
        <w:rPr/>
        <w:t>Состояния заявки</w:t>
      </w:r>
      <w:bookmarkEnd w:id="42"/>
      <w:bookmarkEnd w:id="43"/>
    </w:p>
    <w:p>
      <w:pPr>
        <w:pStyle w:val="Heading1"/>
        <w:rPr/>
      </w:pPr>
      <w:bookmarkStart w:id="44" w:name="__RefHeading___Toc3762_1562542824"/>
      <w:bookmarkStart w:id="45" w:name="ключевые-сценарии"/>
      <w:bookmarkEnd w:id="44"/>
      <w:r>
        <w:rPr>
          <w:rStyle w:val="SectionNumber"/>
        </w:rPr>
        <w:t>8</w:t>
      </w:r>
      <w:r>
        <w:rPr/>
        <w:tab/>
        <w:t>Ключевые сценарии</w:t>
      </w:r>
    </w:p>
    <w:p>
      <w:pPr>
        <w:pStyle w:val="Heading2"/>
        <w:rPr/>
      </w:pPr>
      <w:bookmarkStart w:id="46" w:name="__RefHeading___Toc3764_1562542824"/>
      <w:bookmarkStart w:id="47" w:name="вход-и-продление-сессии"/>
      <w:bookmarkEnd w:id="46"/>
      <w:r>
        <w:rPr>
          <w:rStyle w:val="SectionNumber"/>
        </w:rPr>
        <w:t>8.1</w:t>
      </w:r>
      <w:r>
        <w:rPr/>
        <w:tab/>
        <w:t>Вход и продление сессии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2" name="Image12" descr="Последовательность входа и обновления ток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Последовательность входа и обновления токен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8" w:name="вход-и-продление-сессии"/>
      <w:r>
        <w:rPr/>
        <w:t>Последовательность входа и обновления токена</w:t>
      </w:r>
      <w:bookmarkEnd w:id="48"/>
    </w:p>
    <w:p>
      <w:pPr>
        <w:pStyle w:val="Heading2"/>
        <w:rPr/>
      </w:pPr>
      <w:bookmarkStart w:id="49" w:name="__RefHeading___Toc3766_1562542824"/>
      <w:bookmarkStart w:id="50" w:name="подача-заявки"/>
      <w:bookmarkEnd w:id="49"/>
      <w:r>
        <w:rPr>
          <w:rStyle w:val="SectionNumber"/>
        </w:rPr>
        <w:t>8.2</w:t>
      </w:r>
      <w:r>
        <w:rPr/>
        <w:tab/>
        <w:t>Подача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0700"/>
            <wp:effectExtent l="0" t="0" r="0" b="0"/>
            <wp:docPr id="13" name="Image13" descr="Создание заявки: проверки и транза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оздание заявки: проверки и транзакция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подача-заявки"/>
      <w:r>
        <w:rPr/>
        <w:t>Создание заявки: проверки и транзакция</w:t>
      </w:r>
      <w:bookmarkEnd w:id="51"/>
    </w:p>
    <w:p>
      <w:pPr>
        <w:pStyle w:val="Heading2"/>
        <w:rPr/>
      </w:pPr>
      <w:bookmarkStart w:id="52" w:name="__RefHeading___Toc3768_1562542824"/>
      <w:bookmarkStart w:id="53" w:name="согласование-и-отклонение"/>
      <w:bookmarkEnd w:id="52"/>
      <w:r>
        <w:rPr>
          <w:rStyle w:val="SectionNumber"/>
        </w:rPr>
        <w:t>8.3</w:t>
      </w:r>
      <w:r>
        <w:rPr/>
        <w:tab/>
        <w:t>Согласование и отклонение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14" name="Image14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согласование-и-отклонение"/>
      <w:r>
        <w:rPr/>
        <w:t>Решение руководителя</w:t>
      </w:r>
      <w:bookmarkEnd w:id="54"/>
    </w:p>
    <w:p>
      <w:pPr>
        <w:pStyle w:val="Heading2"/>
        <w:rPr/>
      </w:pPr>
      <w:bookmarkStart w:id="55" w:name="__RefHeading___Toc3770_1562542824"/>
      <w:bookmarkStart w:id="56" w:name="построение-графика"/>
      <w:bookmarkEnd w:id="55"/>
      <w:r>
        <w:rPr>
          <w:rStyle w:val="SectionNumber"/>
        </w:rPr>
        <w:t>8.4</w:t>
      </w:r>
      <w:r>
        <w:rPr/>
        <w:tab/>
        <w:t>Построение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95110"/>
            <wp:effectExtent l="0" t="0" r="0" b="0"/>
            <wp:docPr id="15" name="Image15" descr="Загрузка графика с конфликтами отде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Загрузка графика с конфликтами отделов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ключевые-сценарии"/>
      <w:bookmarkStart w:id="58" w:name="построение-графика"/>
      <w:r>
        <w:rPr/>
        <w:t>Загрузка графика с конфликтами отделов</w:t>
      </w:r>
      <w:bookmarkEnd w:id="57"/>
      <w:bookmarkEnd w:id="58"/>
    </w:p>
    <w:p>
      <w:pPr>
        <w:pStyle w:val="Heading1"/>
        <w:rPr/>
      </w:pPr>
      <w:bookmarkStart w:id="59" w:name="__RefHeading___Toc3772_1562542824"/>
      <w:bookmarkStart w:id="60" w:name="безопасность"/>
      <w:bookmarkEnd w:id="59"/>
      <w:r>
        <w:rPr>
          <w:rStyle w:val="SectionNumber"/>
        </w:rPr>
        <w:t>9</w:t>
      </w:r>
      <w:r>
        <w:rPr/>
        <w:tab/>
        <w:t>Безопасность</w:t>
      </w:r>
    </w:p>
    <w:p>
      <w:pPr>
        <w:pStyle w:val="Heading2"/>
        <w:rPr/>
      </w:pPr>
      <w:bookmarkStart w:id="61" w:name="__RefHeading___Toc3774_1562542824"/>
      <w:bookmarkEnd w:id="61"/>
      <w:r>
        <w:rPr>
          <w:rStyle w:val="SectionNumber"/>
        </w:rPr>
        <w:t>9.1</w:t>
      </w:r>
      <w:r>
        <w:rPr/>
        <w:tab/>
        <w:t>Аутентификация и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солью, сравнение за постоянное время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пароли не попадают в журналы, ответы и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HS256, 15 минут, в памяти вкладки (не в localStorage)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Случайный, в httpOnly-cookie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vp_refresh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(SameSite=Strict, Secure в production, path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в БД хранится только SHA-256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обновление отзывает использованный refresh и выдаёт новый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Увеличивает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все выданные токены перестают действовать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Ограничение частоты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10 попыток в минуту на пару «адрес + логин» и 60 на адрес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429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адрес клиента берётся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от доверенных прокси частных сетей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Ответ на неверный вход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auth/invalid-credentials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указания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Authorization code + PKCE (S256); state, nonce и verifier — в подписанной httpOnly-cookie на 10 минут; id_token проверяется по JWKS (подпись, издатель, получатель, срок, nonce); сотрудник — по логину из утверждения; после входа — та же refresh-cookie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Отключение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пароль остаётся только у администраторов — аварийный вход при недоступности провайдера</w:t>
            </w:r>
            <w:bookmarkStart w:id="62" w:name="аутентификация-и-сессии"/>
            <w:bookmarkEnd w:id="62"/>
          </w:p>
        </w:tc>
      </w:tr>
    </w:tbl>
    <w:p>
      <w:pPr>
        <w:pStyle w:val="Heading2"/>
        <w:rPr/>
      </w:pPr>
      <w:bookmarkStart w:id="63" w:name="__RefHeading___Toc3776_1562542824"/>
      <w:bookmarkEnd w:id="63"/>
      <w:r>
        <w:rPr>
          <w:rStyle w:val="SectionNumber"/>
        </w:rPr>
        <w:t>9.2</w:t>
      </w:r>
      <w:r>
        <w:rPr/>
        <w:tab/>
        <w:t>Защита запросов</w:t>
      </w:r>
    </w:p>
    <w:p>
      <w:pPr>
        <w:pStyle w:val="FirstParagraph"/>
        <w:rPr/>
      </w:pPr>
      <w:r>
        <w:rPr/>
        <w:t>Глобальные guards применяются ко всем маршрутам по умолчанию; публичные (</w:t>
      </w:r>
      <w:r>
        <w:rPr>
          <w:rStyle w:val="VerbatimChar"/>
        </w:rPr>
        <w:t>/healthz</w:t>
      </w:r>
      <w:r>
        <w:rPr/>
        <w:t xml:space="preserve">, </w:t>
      </w:r>
      <w:r>
        <w:rPr>
          <w:rStyle w:val="VerbatimChar"/>
        </w:rPr>
        <w:t>/readyz</w:t>
      </w:r>
      <w:r>
        <w:rPr/>
        <w:t xml:space="preserve">, календарь, вход, обновление) отмечены явно. DTO-валидация отбрасывает неизвестные поля. Ответы API содержат </w:t>
      </w:r>
      <w:r>
        <w:rPr>
          <w:rStyle w:val="VerbatimChar"/>
        </w:rPr>
        <w:t>X-Content-Type-Options: nosniff</w:t>
      </w:r>
      <w:r>
        <w:rPr/>
        <w:t xml:space="preserve">, </w:t>
      </w:r>
      <w:r>
        <w:rPr>
          <w:rStyle w:val="VerbatimChar"/>
        </w:rPr>
        <w:t>X-Frame-Options: DENY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 xml:space="preserve">, </w:t>
      </w:r>
      <w:r>
        <w:rPr>
          <w:rStyle w:val="VerbatimChar"/>
        </w:rPr>
        <w:t>Permissions-Policy</w:t>
      </w:r>
      <w:r>
        <w:rPr/>
        <w:t>. nginx отдаёт SPA с Content Security Policy (</w:t>
      </w:r>
      <w:r>
        <w:rPr>
          <w:rStyle w:val="VerbatimChar"/>
        </w:rPr>
        <w:t>script-src 'self'</w:t>
      </w:r>
      <w:r>
        <w:rPr/>
        <w:t xml:space="preserve">, без inline-скриптов, </w:t>
      </w:r>
      <w:r>
        <w:rPr>
          <w:rStyle w:val="VerbatimChar"/>
        </w:rPr>
        <w:t>frame-ancestors 'none'</w:t>
      </w:r>
      <w:r>
        <w:rPr/>
        <w:t xml:space="preserve">); e2e-тесты выполняются под той же политикой и падают при её нарушении. В клиенте запрещён </w:t>
      </w:r>
      <w:r>
        <w:rPr>
          <w:rStyle w:val="VerbatimChar"/>
        </w:rPr>
        <w:t>v-html</w:t>
      </w:r>
      <w:r>
        <w:rPr/>
        <w:t>: данные пользователей выводятся только интерполяцией Vue с автоэкранированием.</w:t>
      </w:r>
    </w:p>
    <w:p>
      <w:pPr>
        <w:pStyle w:val="Heading2"/>
        <w:rPr/>
      </w:pPr>
      <w:bookmarkStart w:id="64" w:name="__RefHeading___Toc3778_1562542824"/>
      <w:bookmarkStart w:id="65" w:name="модель-авторизации"/>
      <w:bookmarkEnd w:id="64"/>
      <w:r>
        <w:rPr>
          <w:rStyle w:val="SectionNumber"/>
        </w:rPr>
        <w:t>9.3</w:t>
      </w:r>
      <w:r>
        <w:rPr/>
        <w:tab/>
        <w:t>Модель авторизации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заявки, баланс и график работы; общий график; команда и аналитика своего отдела; подбор дат для себя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Дополнительно: согласование заявок и оформление отпусков прямых подчинённых, их режим работы, аналитика отделов, где работают подчинённые или которыми руководит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оргструктура, производственный календарь, выгрузки и аналитика всей организации, журнал аудита. Не меняет правила организации, не согласует заявки, не меняет учётные записи администраторов и коллег по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Всё: дополнительно правила организации, выдача служебных ролей, согласование любых заявок; последнего администратора разжаловать нельзя</w:t>
            </w:r>
          </w:p>
        </w:tc>
      </w:tr>
    </w:tbl>
    <w:p>
      <w:pPr>
        <w:pStyle w:val="BodyText"/>
        <w:rPr/>
      </w:pPr>
      <w:r>
        <w:rPr/>
        <w:t>Права служебных ролей читаются из БД на каждый запрос (</w:t>
      </w:r>
      <w:r>
        <w:rPr>
          <w:rStyle w:val="VerbatimChar"/>
        </w:rPr>
        <w:t>auth/access.ts</w:t>
      </w:r>
      <w:r>
        <w:rPr/>
        <w:t>), а не из токена: снятие роли действует сразу.</w:t>
      </w:r>
      <w:bookmarkEnd w:id="65"/>
    </w:p>
    <w:p>
      <w:pPr>
        <w:pStyle w:val="Heading2"/>
        <w:rPr/>
      </w:pPr>
      <w:bookmarkStart w:id="66" w:name="__RefHeading___Toc3780_1562542824"/>
      <w:bookmarkStart w:id="67" w:name="журналирование-и-аудит"/>
      <w:bookmarkEnd w:id="66"/>
      <w:r>
        <w:rPr>
          <w:rStyle w:val="SectionNumber"/>
        </w:rPr>
        <w:t>9.4</w:t>
      </w:r>
      <w:r>
        <w:rPr/>
        <w:tab/>
        <w:t>Журналирование и аудит</w:t>
      </w:r>
    </w:p>
    <w:p>
      <w:pPr>
        <w:pStyle w:val="FirstParagraph"/>
        <w:rPr/>
      </w:pPr>
      <w:r>
        <w:rPr/>
        <w:t xml:space="preserve">Каждое изменение данных пишет запись в </w:t>
      </w:r>
      <w:r>
        <w:rPr>
          <w:rStyle w:val="VerbatimChar"/>
        </w:rPr>
        <w:t>audit_events</w:t>
      </w:r>
      <w:r>
        <w:rPr/>
        <w:t xml:space="preserve"> (кто, когда, действие, объект, значения до и после) в той же транзакции, что и само изменение: запись журнала не может потеряться или появиться без изменения. Журнал только дополняется. Администратор просматривает его с фильтром по объектам и раскрытием изменённых полей.</w:t>
      </w:r>
      <w:bookmarkEnd w:id="60"/>
      <w:bookmarkEnd w:id="67"/>
    </w:p>
    <w:p>
      <w:pPr>
        <w:pStyle w:val="Heading1"/>
        <w:rPr/>
      </w:pPr>
      <w:bookmarkStart w:id="68" w:name="__RefHeading___Toc3782_1562542824"/>
      <w:bookmarkEnd w:id="68"/>
      <w:r>
        <w:rPr>
          <w:rStyle w:val="SectionNumber"/>
        </w:rPr>
        <w:t>10</w:t>
      </w:r>
      <w:r>
        <w:rPr/>
        <w:tab/>
        <w:t>Программный интерфейс</w:t>
      </w:r>
    </w:p>
    <w:p>
      <w:pPr>
        <w:pStyle w:val="FirstParagraph"/>
        <w:rPr/>
      </w:pPr>
      <w:r>
        <w:rPr/>
        <w:t xml:space="preserve">REST API v1 — JSON по HTTPS с префиксом </w:t>
      </w:r>
      <w:r>
        <w:rPr>
          <w:rStyle w:val="VerbatimChar"/>
        </w:rPr>
        <w:t>/api/v1</w:t>
      </w:r>
      <w:r>
        <w:rPr/>
        <w:t xml:space="preserve">, описание — OpenAPI 3.1 в </w:t>
      </w:r>
      <w:r>
        <w:rPr>
          <w:rStyle w:val="VerbatimChar"/>
        </w:rPr>
        <w:t>contracts/</w:t>
      </w:r>
      <w:r>
        <w:rPr/>
        <w:t xml:space="preserve">. Реализация публикует интерактивную спецификацию на </w:t>
      </w:r>
      <w:r>
        <w:rPr>
          <w:rStyle w:val="VerbatimChar"/>
        </w:rPr>
        <w:t>/api/docs</w:t>
      </w:r>
      <w:r>
        <w:rPr/>
        <w:t>. Полный каталог операций с правами и кодами ошибок — документ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вход, обновление, выход, профиль и личные настройки, смена пароля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(свои, подчинённых, все), создание, изменение и перенос, отмена или запрос удаления, согласование, отклонение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режим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за период с конфликтами; шаблон и исключения режима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доступные отделы, обзор года, состав на дату,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группы, календарь (чтение и правка), правила организации, проверочное письмо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и остатки из XLSX/CSV и JSON, шаблон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уведомления, журнал аудита, выгрузка XLSX, пробы</w:t>
            </w:r>
            <w:bookmarkStart w:id="69" w:name="программный-интерфейс"/>
            <w:bookmarkEnd w:id="69"/>
          </w:p>
        </w:tc>
      </w:tr>
    </w:tbl>
    <w:p>
      <w:pPr>
        <w:pStyle w:val="Heading1"/>
        <w:rPr/>
      </w:pPr>
      <w:bookmarkStart w:id="70" w:name="__RefHeading___Toc3784_1562542824"/>
      <w:bookmarkEnd w:id="70"/>
      <w:r>
        <w:rPr>
          <w:rStyle w:val="SectionNumber"/>
        </w:rPr>
        <w:t>11</w:t>
      </w:r>
      <w:r>
        <w:rPr/>
        <w:tab/>
        <w:t>Наблюдаемость и эксплуатация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Живость и готовность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(запрос к БД); healthcheck контейнера PostgreSQL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stdout контейнеров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уровни log/warn/error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сутки, хранение 14 дней; восстановление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 pull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миграции применяются при старте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Целевые показатели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 (ежесуточная копия), RTO 1 ч; ответ p95 ≤ 300 мс на чтение</w:t>
            </w:r>
          </w:p>
        </w:tc>
      </w:tr>
    </w:tbl>
    <w:p>
      <w:pPr>
        <w:pStyle w:val="Heading1"/>
        <w:rPr/>
      </w:pPr>
      <w:bookmarkStart w:id="71" w:name="__RefHeading___Toc3786_1562542824"/>
      <w:bookmarkEnd w:id="71"/>
      <w:r>
        <w:rPr>
          <w:rStyle w:val="SectionNumber"/>
        </w:rPr>
        <w:t>12</w:t>
      </w:r>
      <w:r>
        <w:rPr/>
        <w:tab/>
        <w:t>Технологический стек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Технологии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20/22, NestJS 11, TypeScript 5 strict, class-validator, exceljs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17, Prisma 6 (схема, миграции, клиент)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3.5, Vite 6, Pinia, vue-router 4, собственные компоненты и иконки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Vitest + supertest (API на тестовой БД), Vitest (модули клиента), Playwright (e2e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9, vue-tsc, тест сверки контракта, лицензионный гейт SBOM (CycloneDX 1.5)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Поставка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multi-stage, docker compose, nginx; GitHub Actions и Gitea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Markdown → pandoc → PDF (Chromium) и DOCX; схемы Mermaid и HTML → PNG</w:t>
            </w:r>
          </w:p>
        </w:tc>
      </w:tr>
    </w:tbl>
    <w:p>
      <w:pPr>
        <w:pStyle w:val="Heading1"/>
        <w:rPr/>
      </w:pPr>
      <w:bookmarkStart w:id="72" w:name="__RefHeading___Toc3788_1562542824"/>
      <w:bookmarkEnd w:id="72"/>
      <w:r>
        <w:rPr>
          <w:rStyle w:val="SectionNumber"/>
        </w:rPr>
        <w:t>13</w:t>
      </w:r>
      <w:r>
        <w:rPr/>
        <w:tab/>
        <w:t>Ключевые решения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Альтернатива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Обоснование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Модульный монолит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Микросервисы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до 5000 пользователей обслуживается одним процессом; DI, guards и OpenAPI из коробки; модули повторяют предметные области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с первой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 с последующим переходом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Конкурентная запись, транзакции, репликация; нет миграционного долга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Prisma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TypeORM, SQL вручную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Типобезопасные запросы, схема как документация, миграции с ревью SQL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+ refresh с ротацией в БД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без состояния для горизонтального масштабирования; отзыв через таблицу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scrypt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node:crypto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bcrypt, argon2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нативных зависимостей, достаточная стойкость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UI без библиотек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PrimeVue, Quasar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Единая дизайн-система продуктов; минимальный SBOM для реестра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 транзакции изменения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Асинхронные события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всегда согласован с данными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на сервере чистыми функциями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Одинаковые правила для всех клиентов; тестируемость; данные других отделов не уходят в браузер</w:t>
            </w:r>
          </w:p>
        </w:tc>
      </w:tr>
    </w:tbl>
    <w:p>
      <w:pPr>
        <w:pStyle w:val="BodyText"/>
        <w:rPr/>
      </w:pPr>
      <w:r>
        <w:rPr/>
        <w:t xml:space="preserve">Полные записи — </w:t>
      </w:r>
      <w:r>
        <w:rPr>
          <w:rStyle w:val="VerbatimChar"/>
        </w:rPr>
        <w:t>docs/adr/</w:t>
      </w:r>
      <w:r>
        <w:rPr/>
        <w:t>.</w:t>
      </w:r>
    </w:p>
    <w:p>
      <w:pPr>
        <w:pStyle w:val="Heading1"/>
        <w:rPr/>
      </w:pPr>
      <w:bookmarkStart w:id="73" w:name="__RefHeading___Toc3790_1562542824"/>
      <w:bookmarkEnd w:id="73"/>
      <w:r>
        <w:rPr>
          <w:rStyle w:val="SectionNumber"/>
        </w:rPr>
        <w:t>14</w:t>
      </w:r>
      <w:r>
        <w:rPr/>
        <w:tab/>
        <w:t>План развития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XLSX-выгрузки, ограничение частоты входа, security-заголовки, полосы Ганта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и новые схемы; новый интерфейс и иконки; праздники в балансе; аналитика пересечений и подбор дат; график работы, панель команды, сравнение; резервное копирование; e2e интерфейса и сверка контракта в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о заявках и еженедельная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5000: метрики Prometheus, нагрузочная валидация, реплика PostgreSQL (RPO 15 мин),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74" w:name="план-развития"/>
            <w:bookmarkEnd w:id="74"/>
          </w:p>
        </w:tc>
      </w:tr>
    </w:tbl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2026-10-28T17:52:43Z</dcterms:created>
  <dc:creator/>
  <dc:description/>
  <dc:language>en-US</dc:language>
  <cp:lastModifiedBy/>
  <dcterms:modified xsi:type="dcterms:W3CDTF">2026-10-28T17:54:08Z</dcterms:modified>
  <cp:revision>1</cp:revision>
  <dc:subject/>
  <dc:title>Описание архитектуры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Платформа, компоненты, решения и план развития</vt:lpwstr>
  </property>
  <property fmtid="{D5CDD505-2E9C-101B-9397-08002B2CF9AE}" pid="4" name="toc-title">
    <vt:lpwstr>Содержание</vt:lpwstr>
  </property>
</Properties>
</file>