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Стенды, CI/CD и выпуск</w:t>
      </w:r>
    </w:p>
    <w:p>
      <w:pPr>
        <w:pStyle w:val="Subtitle"/>
        <w:rPr/>
      </w:pPr>
      <w:r>
        <w:rPr/>
        <w:t>Планировщик отпусков 0.4.0 · Окружения, конвейеры, версии и эксплуатация</w:t>
      </w:r>
    </w:p>
    <w:p>
      <w:pPr>
        <w:pStyle w:val="Date"/>
        <w:rPr/>
      </w:pPr>
      <w:r>
        <w:rPr/>
        <w:t>28 октября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120"/>
            <w:rPr>
              <w:rFonts w:ascii="Arial" w:hAnsi="Arial" w:eastAsia="Arial" w:cs="Arial"/>
              <w:b/>
              <w:bCs w:val="false"/>
              <w:color w:val="1D2433"/>
              <w:sz w:val="36"/>
            </w:rPr>
          </w:pPr>
          <w:r>
            <w:rPr>
              <w:rFonts w:eastAsia="Arial" w:cs="Arial"/>
              <w:b/>
              <w:bCs w:val="false"/>
              <w:color w:val="1D2433"/>
              <w:sz w:val="36"/>
            </w:rPr>
            <w:t>Содержание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7470_1562542824">
            <w:r>
              <w:rPr>
                <w:webHidden/>
                <w:rStyle w:val="IndexLink"/>
              </w:rPr>
              <w:t>1 О документе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72_1562542824">
            <w:r>
              <w:rPr>
                <w:webHidden/>
                <w:rStyle w:val="IndexLink"/>
              </w:rPr>
              <w:t>2 Окружения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7474_1562542824">
            <w:r>
              <w:rPr>
                <w:webHidden/>
                <w:rStyle w:val="IndexLink"/>
              </w:rPr>
              <w:t>2.1 Локальное окружение</w:t>
              <w:tab/>
              <w:t>4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76_1562542824">
            <w:r>
              <w:rPr>
                <w:webHidden/>
                <w:rStyle w:val="IndexLink"/>
              </w:rPr>
              <w:t>3 Конвейеры непрерывной интеграции</w:t>
              <w:tab/>
              <w:t>5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78_1562542824">
            <w:r>
              <w:rPr>
                <w:webHidden/>
                <w:rStyle w:val="IndexLink"/>
              </w:rPr>
              <w:t>4 Ветки, версии и выпуск</w:t>
              <w:tab/>
              <w:t>7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80_1562542824">
            <w:r>
              <w:rPr>
                <w:webHidden/>
                <w:rStyle w:val="IndexLink"/>
              </w:rPr>
              <w:t>5 Миграции базы данных</w:t>
              <w:tab/>
              <w:t>8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82_1562542824">
            <w:r>
              <w:rPr>
                <w:webHidden/>
                <w:rStyle w:val="IndexLink"/>
              </w:rPr>
              <w:t>6 Резервное копирование и мониторинг</w:t>
              <w:tab/>
              <w:t>9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7484_1562542824">
            <w:r>
              <w:rPr>
                <w:webHidden/>
                <w:rStyle w:val="IndexLink"/>
              </w:rPr>
              <w:t>7 Доступы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7470_1562542824"/>
      <w:bookmarkEnd w:id="0"/>
      <w:r>
        <w:rPr>
          <w:rStyle w:val="SectionNumber"/>
        </w:rPr>
        <w:t>1</w:t>
      </w:r>
      <w:r>
        <w:rPr/>
        <w:tab/>
        <w:t>О документе</w:t>
      </w:r>
    </w:p>
    <w:p>
      <w:pPr>
        <w:pStyle w:val="FirstParagraph"/>
        <w:rPr/>
      </w:pPr>
      <w:r>
        <w:rPr/>
        <w:t>Документ описывает окружения «Планировщика отпусков», конвейеры непрерывной интеграции в GitHub и Gitea, порядок выпуска версий, применение миграций, резервное копирование и мониторинг. Пошаговые инструкции для администратора стенда — «Руководство по развёртыванию».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Источник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задаёт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docker-compose.yml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Контейнеры стенда: postgres, server, web, backup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.github/workflows/ci.yml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Конвейер GitHub Actions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.gitea/workflows/server-ci.yml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Конвейер Gitea Actions с развёртыванием стенда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Makefile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Типовые команды разработчика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docs/versions.md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CHANGELOG.md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История версий, авторство, технический журнал</w:t>
            </w:r>
            <w:bookmarkStart w:id="1" w:name="о-документе"/>
            <w:bookmarkEnd w:id="1"/>
          </w:p>
        </w:tc>
      </w:tr>
    </w:tbl>
    <w:p>
      <w:pPr>
        <w:pStyle w:val="Heading1"/>
        <w:rPr/>
      </w:pPr>
      <w:bookmarkStart w:id="2" w:name="__RefHeading___Toc17472_1562542824"/>
      <w:bookmarkEnd w:id="2"/>
      <w:r>
        <w:rPr>
          <w:rStyle w:val="SectionNumber"/>
        </w:rPr>
        <w:t>2</w:t>
      </w:r>
      <w:r>
        <w:rPr/>
        <w:tab/>
        <w:t>Окружения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339"/>
        <w:gridCol w:w="2340"/>
        <w:gridCol w:w="2340"/>
        <w:gridCol w:w="2340"/>
      </w:tblGrid>
      <w:tr>
        <w:trPr>
          <w:tblHeader w:val="true"/>
        </w:trPr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Окружение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Назначение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Данные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Кто работает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Локальное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Разработка и отладка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Демо-данные (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seed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CI (GitHub, Gitea)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каждого push и PR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Тестовая БД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демо-данные для e2e интерфейса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Автоматика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Стенд Gitea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Демонстрация и приёмка версии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db-data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стенда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Команда, заказчик</w:t>
            </w:r>
          </w:p>
        </w:tc>
      </w:tr>
      <w:tr>
        <w:trPr/>
        <w:tc>
          <w:tcPr>
            <w:tcW w:w="233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Рабочий контур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Работа организации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Рабочая БД, резервные копии</w:t>
            </w:r>
          </w:p>
        </w:tc>
        <w:tc>
          <w:tcPr>
            <w:tcW w:w="234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Сотрудники</w:t>
            </w:r>
          </w:p>
        </w:tc>
      </w:tr>
    </w:tbl>
    <w:p>
      <w:pPr>
        <w:pStyle w:val="Heading2"/>
        <w:rPr/>
      </w:pPr>
      <w:bookmarkStart w:id="3" w:name="__RefHeading___Toc17474_1562542824"/>
      <w:bookmarkEnd w:id="3"/>
      <w:r>
        <w:rPr>
          <w:rStyle w:val="SectionNumber"/>
        </w:rPr>
        <w:t>2.1</w:t>
      </w:r>
      <w:r>
        <w:rPr/>
        <w:tab/>
        <w:t>Локальное окружение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Команда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Действие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up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 в Docker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seed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Миграции и демо-данные (131 сотрудник, 14 отделов)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server-dev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web-dev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API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:8080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SPA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:5173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 прокси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/api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test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Тесты сервера на БД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vacation_test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cd web &amp;&amp; npm test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run e2e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Модульные тесты клиента / e2e интерфейса (Playwright)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lint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ESLint сервера и клиента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sbom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 CycloneDX и отчёт лицензий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docs-diagrams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docs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Схемы в PNG / комплект документов в PDF и DOCX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make compose-full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Полный стенд в контейнерах на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:80</w:t>
            </w:r>
          </w:p>
        </w:tc>
      </w:tr>
    </w:tbl>
    <w:p>
      <w:pPr>
        <w:pStyle w:val="BodyText"/>
        <w:rPr/>
      </w:pPr>
      <w:r>
        <w:rPr/>
        <w:t xml:space="preserve">Секреты — только в </w:t>
      </w:r>
      <w:r>
        <w:rPr>
          <w:rStyle w:val="VerbatimChar"/>
        </w:rPr>
        <w:t>.env</w:t>
      </w:r>
      <w:r>
        <w:rPr/>
        <w:t xml:space="preserve"> (образец </w:t>
      </w:r>
      <w:r>
        <w:rPr>
          <w:rStyle w:val="VerbatimChar"/>
        </w:rPr>
        <w:t>.env.example</w:t>
      </w:r>
      <w:r>
        <w:rPr/>
        <w:t xml:space="preserve">): </w:t>
      </w:r>
      <w:r>
        <w:rPr>
          <w:rStyle w:val="VerbatimChar"/>
        </w:rPr>
        <w:t>DATABASE_URL</w:t>
      </w:r>
      <w:r>
        <w:rPr/>
        <w:t xml:space="preserve">, </w:t>
      </w:r>
      <w:r>
        <w:rPr>
          <w:rStyle w:val="VerbatimChar"/>
        </w:rPr>
        <w:t>JWT_SECRET</w:t>
      </w:r>
      <w:r>
        <w:rPr/>
        <w:t xml:space="preserve"> не короче 32 символов, с v0.4.0 — </w:t>
      </w:r>
      <w:r>
        <w:rPr>
          <w:rStyle w:val="VerbatimChar"/>
        </w:rPr>
        <w:t>SMTP_PASSWORD</w:t>
      </w:r>
      <w:r>
        <w:rPr/>
        <w:t xml:space="preserve"> и </w:t>
      </w:r>
      <w:r>
        <w:rPr>
          <w:rStyle w:val="VerbatimChar"/>
        </w:rPr>
        <w:t>OIDC_CLIENT_SECRET</w:t>
      </w:r>
      <w:r>
        <w:rPr/>
        <w:t xml:space="preserve">. В git их нет. Почта и единый вход необязательны: без </w:t>
      </w:r>
      <w:r>
        <w:rPr>
          <w:rStyle w:val="VerbatimChar"/>
        </w:rPr>
        <w:t>SMTP_HOST</w:t>
      </w:r>
      <w:r>
        <w:rPr/>
        <w:t xml:space="preserve"> и </w:t>
      </w:r>
      <w:r>
        <w:rPr>
          <w:rStyle w:val="VerbatimChar"/>
        </w:rPr>
        <w:t>OIDC_ISSUER</w:t>
      </w:r>
      <w:r>
        <w:rPr/>
        <w:t xml:space="preserve"> стенд работает с уведомлениями в интерфейсе и входом по паролю.</w:t>
      </w:r>
    </w:p>
    <w:p>
      <w:pPr>
        <w:pStyle w:val="Heading1"/>
        <w:rPr/>
      </w:pPr>
      <w:bookmarkStart w:id="4" w:name="__RefHeading___Toc17476_1562542824"/>
      <w:bookmarkStart w:id="5" w:name="конвейеры-непрерывной-интеграции"/>
      <w:bookmarkEnd w:id="4"/>
      <w:r>
        <w:rPr>
          <w:rStyle w:val="SectionNumber"/>
        </w:rPr>
        <w:t>3</w:t>
      </w:r>
      <w:r>
        <w:rPr/>
        <w:tab/>
        <w:t>Конвейеры непрерывной интеграции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2337435"/>
            <wp:effectExtent l="0" t="0" r="0" b="0"/>
            <wp:docPr id="1" name="Picture" descr="Состав проверок 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Состав проверок CI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Состав проверок CI</w:t>
      </w:r>
    </w:p>
    <w:p>
      <w:pPr>
        <w:pStyle w:val="BodyText"/>
        <w:rPr/>
      </w:pPr>
      <w:r>
        <w:rPr/>
        <w:t xml:space="preserve">Оба конвейера запускаются на push в </w:t>
      </w:r>
      <w:r>
        <w:rPr>
          <w:rStyle w:val="VerbatimChar"/>
        </w:rPr>
        <w:t>main</w:t>
      </w:r>
      <w:r>
        <w:rPr/>
        <w:t xml:space="preserve"> и ветки </w:t>
      </w:r>
      <w:r>
        <w:rPr>
          <w:rStyle w:val="VerbatimChar"/>
        </w:rPr>
        <w:t>v0.*</w:t>
      </w:r>
      <w:r>
        <w:rPr/>
        <w:t xml:space="preserve"> (GitHub — также на pull request) и выполняют одинаковый набор проверок: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Задание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Шаги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Что ловит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Сервер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ci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prisma generate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миграции на чистой PostgreSQL 17,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tsc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strict, Vitest (модульные и e2e API), ESLint; Node 20 и 22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 логики, прав, транзакций, расхождение контракта и маршрутов, гонки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Клиент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npm ci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ESLint, Vitest модулей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lib/*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vue-tsc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+ сборка Vite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 типов и вычислений дат, графика, статусов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e2e интерфейса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PostgreSQL, миграции, seed, сборки, Chromium; Playwright: вход, график, заявка с подбором дат и согласованием, команда, график работы, CSP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Регрессии экранов и сценариев, нарушения CSP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SBOM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CycloneDX 1.5 для сервера и клиента,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scripts/license-report.mjs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Copyleft и неизвестные лицензии — блокер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Docker (GitHub)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Сборка образов и дымовой прогон полного стенда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Ошибки Dockerfile, nginx, старта с миграциями</w:t>
            </w:r>
          </w:p>
        </w:tc>
      </w:tr>
      <w:tr>
        <w:trPr/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Deploy (Gitea)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После всех проверок: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-p vacation-planner up -d --build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на раннере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и дымовые пробы</w:t>
            </w:r>
          </w:p>
        </w:tc>
        <w:tc>
          <w:tcPr>
            <w:tcW w:w="312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Развёртывание стенда версии</w:t>
            </w:r>
          </w:p>
        </w:tc>
      </w:tr>
    </w:tbl>
    <w:p>
      <w:pPr>
        <w:pStyle w:val="BodyText"/>
        <w:rPr/>
      </w:pPr>
      <w:r>
        <w:rPr/>
        <w:t>Правила:</w:t>
      </w:r>
    </w:p>
    <w:p>
      <w:pPr>
        <w:pStyle w:val="Compact"/>
        <w:numPr>
          <w:ilvl w:val="0"/>
          <w:numId w:val="1"/>
        </w:numPr>
        <w:rPr/>
      </w:pPr>
      <w:r>
        <w:rPr/>
        <w:t>красный конвейер блокирует слияние; отключать, пропускать или ослаблять тесты запрещено — исправляется причина;</w:t>
      </w:r>
    </w:p>
    <w:p>
      <w:pPr>
        <w:pStyle w:val="Compact"/>
        <w:numPr>
          <w:ilvl w:val="0"/>
          <w:numId w:val="1"/>
        </w:numPr>
        <w:rPr/>
      </w:pPr>
      <w:r>
        <w:rPr/>
        <w:t>«нестабильный тест» не причина: в v0.3.0 так нашлась ошибка дымовой пробы (</w:t>
      </w:r>
      <w:r>
        <w:rPr>
          <w:rStyle w:val="VerbatimChar"/>
        </w:rPr>
        <w:t>CODE=$(curl …)</w:t>
      </w:r>
      <w:r>
        <w:rPr/>
        <w:t xml:space="preserve"> под </w:t>
      </w:r>
      <w:r>
        <w:rPr>
          <w:rStyle w:val="VerbatimChar"/>
        </w:rPr>
        <w:t>bash -e</w:t>
      </w:r>
      <w:r>
        <w:rPr/>
        <w:t xml:space="preserve"> падал при обрыве соединения до готовности API);</w:t>
      </w:r>
    </w:p>
    <w:p>
      <w:pPr>
        <w:pStyle w:val="Compact"/>
        <w:numPr>
          <w:ilvl w:val="0"/>
          <w:numId w:val="1"/>
        </w:numPr>
        <w:rPr/>
      </w:pPr>
      <w:bookmarkStart w:id="6" w:name="конвейеры-непрерывной-интеграции"/>
      <w:r>
        <w:rPr/>
        <w:t>дифф контракта, SBOM и документов — в том же PR, что и код.</w:t>
      </w:r>
      <w:bookmarkEnd w:id="6"/>
    </w:p>
    <w:p>
      <w:pPr>
        <w:pStyle w:val="Heading1"/>
        <w:rPr/>
      </w:pPr>
      <w:bookmarkStart w:id="7" w:name="__RefHeading___Toc17478_1562542824"/>
      <w:bookmarkStart w:id="8" w:name="ветки-версии-и-выпуск"/>
      <w:bookmarkEnd w:id="7"/>
      <w:r>
        <w:rPr>
          <w:rStyle w:val="SectionNumber"/>
        </w:rPr>
        <w:t>4</w:t>
      </w:r>
      <w:r>
        <w:rPr/>
        <w:tab/>
        <w:t>Ветки, версии и выпуск</w:t>
      </w:r>
    </w:p>
    <w:p>
      <w:pPr>
        <w:pStyle w:val="CaptionedFigure"/>
        <w:rPr/>
      </w:pPr>
      <w:r>
        <w:rPr/>
        <w:drawing>
          <wp:inline distT="0" distB="0" distL="0" distR="0">
            <wp:extent cx="5334000" cy="1508125"/>
            <wp:effectExtent l="0" t="0" r="0" b="0"/>
            <wp:docPr id="2" name="Image2" descr="Жизненный цикл выпус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Жизненный цикл выпуска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  <w:t>Жизненный цикл выпуска</w:t>
      </w:r>
    </w:p>
    <w:p>
      <w:pPr>
        <w:pStyle w:val="Compact"/>
        <w:numPr>
          <w:ilvl w:val="0"/>
          <w:numId w:val="5"/>
        </w:numPr>
        <w:rPr/>
      </w:pPr>
      <w:r>
        <w:rPr/>
        <w:t xml:space="preserve">Номер версии </w:t>
      </w:r>
      <w:r>
        <w:rPr>
          <w:rStyle w:val="VerbatimChar"/>
        </w:rPr>
        <w:t>v0.x.y</w:t>
      </w:r>
      <w:r>
        <w:rPr/>
        <w:t xml:space="preserve">: до первого релиза первая цифра 0; </w:t>
      </w:r>
      <w:r>
        <w:rPr>
          <w:rStyle w:val="VerbatimChar"/>
        </w:rPr>
        <w:t>x</w:t>
      </w:r>
      <w:r>
        <w:rPr/>
        <w:t xml:space="preserve"> растёт при крупных накопленных изменениях, </w:t>
      </w:r>
      <w:r>
        <w:rPr>
          <w:rStyle w:val="VerbatimChar"/>
        </w:rPr>
        <w:t>y</w:t>
      </w:r>
      <w:r>
        <w:rPr/>
        <w:t xml:space="preserve"> — при исправлениях.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Работа над версией — в ветке </w:t>
      </w:r>
      <w:r>
        <w:rPr>
          <w:rStyle w:val="VerbatimChar"/>
        </w:rPr>
        <w:t>v0.x.0</w:t>
      </w:r>
      <w:r>
        <w:rPr/>
        <w:t xml:space="preserve">; отдельные истории — в ветках </w:t>
      </w:r>
      <w:r>
        <w:rPr>
          <w:rStyle w:val="VerbatimChar"/>
        </w:rPr>
        <w:t>story/&lt;id&gt;</w:t>
      </w:r>
      <w:r>
        <w:rPr/>
        <w:t xml:space="preserve"> от ветки версии с pull request по шаблону.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main</w:t>
      </w:r>
      <w:r>
        <w:rPr/>
        <w:t xml:space="preserve"> получает только принятые версии: merge ветки версии и тег </w:t>
      </w:r>
      <w:r>
        <w:rPr>
          <w:rStyle w:val="VerbatimChar"/>
        </w:rPr>
        <w:t>v0.x.y</w:t>
      </w:r>
      <w:r>
        <w:rPr/>
        <w:t xml:space="preserve"> на merge-коммите.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Перед выпуском обновляются </w:t>
      </w:r>
      <w:r>
        <w:rPr>
          <w:rStyle w:val="VerbatimChar"/>
        </w:rPr>
        <w:t>docs/versions.md</w:t>
      </w:r>
      <w:r>
        <w:rPr/>
        <w:t xml:space="preserve"> (что получил пользователь, авторство), </w:t>
      </w:r>
      <w:r>
        <w:rPr>
          <w:rStyle w:val="VerbatimChar"/>
        </w:rPr>
        <w:t>CHANGELOG.md</w:t>
      </w:r>
      <w:r>
        <w:rPr/>
        <w:t xml:space="preserve"> (технически), версии в </w:t>
      </w:r>
      <w:r>
        <w:rPr>
          <w:rStyle w:val="VerbatimChar"/>
        </w:rPr>
        <w:t>package.json</w:t>
      </w:r>
      <w:r>
        <w:rPr/>
        <w:t>, документы (</w:t>
      </w:r>
      <w:r>
        <w:rPr>
          <w:rStyle w:val="VerbatimChar"/>
        </w:rPr>
        <w:t>make docs</w:t>
      </w:r>
      <w:r>
        <w:rPr/>
        <w:t>) и SBOM.</w:t>
      </w:r>
    </w:p>
    <w:p>
      <w:pPr>
        <w:pStyle w:val="Compact"/>
        <w:numPr>
          <w:ilvl w:val="0"/>
          <w:numId w:val="2"/>
        </w:numPr>
        <w:rPr/>
      </w:pPr>
      <w:r>
        <w:rPr/>
        <w:t>Мажорная версия (</w:t>
      </w:r>
      <w:r>
        <w:rPr>
          <w:rStyle w:val="VerbatimChar"/>
        </w:rPr>
        <w:t>v0.x.0</w:t>
      </w:r>
      <w:r>
        <w:rPr/>
        <w:t>) выпускается только после полного прогона всех тестов в обоих конвейерах.</w:t>
      </w:r>
    </w:p>
    <w:p>
      <w:pPr>
        <w:pStyle w:val="FirstParagraph"/>
        <w:rPr/>
      </w:pPr>
      <w:r>
        <w:rPr/>
        <w:t xml:space="preserve">Порядок выпуска: зелёные конвейеры на ветке версии → обновлены история версий, журнал, документы, SBOM → merge в </w:t>
      </w:r>
      <w:r>
        <w:rPr>
          <w:rStyle w:val="VerbatimChar"/>
        </w:rPr>
        <w:t>main</w:t>
      </w:r>
      <w:r>
        <w:rPr/>
        <w:t xml:space="preserve"> с тегом → развёртывание стенда Gitea и дымовые пробы → приёмка → обновление рабочего контура (резервная копия → </w:t>
      </w:r>
      <w:r>
        <w:rPr>
          <w:rStyle w:val="VerbatimChar"/>
        </w:rPr>
        <w:t>docker compose up -d --build</w:t>
      </w:r>
      <w:r>
        <w:rPr/>
        <w:t xml:space="preserve"> → дымовые пробы).</w:t>
      </w:r>
      <w:bookmarkEnd w:id="8"/>
    </w:p>
    <w:p>
      <w:pPr>
        <w:pStyle w:val="Heading1"/>
        <w:rPr/>
      </w:pPr>
      <w:bookmarkStart w:id="9" w:name="__RefHeading___Toc17480_1562542824"/>
      <w:bookmarkStart w:id="10" w:name="миграции-базы-данных"/>
      <w:bookmarkEnd w:id="9"/>
      <w:r>
        <w:rPr>
          <w:rStyle w:val="SectionNumber"/>
        </w:rPr>
        <w:t>5</w:t>
      </w:r>
      <w:r>
        <w:rPr/>
        <w:tab/>
        <w:t>Миграции базы данных</w:t>
      </w:r>
    </w:p>
    <w:p>
      <w:pPr>
        <w:pStyle w:val="Compact"/>
        <w:numPr>
          <w:ilvl w:val="0"/>
          <w:numId w:val="6"/>
        </w:numPr>
        <w:rPr/>
      </w:pPr>
      <w:r>
        <w:rPr/>
        <w:t xml:space="preserve">Схема — </w:t>
      </w:r>
      <w:r>
        <w:rPr>
          <w:rStyle w:val="VerbatimChar"/>
        </w:rPr>
        <w:t>server/prisma/schema.prisma</w:t>
      </w:r>
      <w:r>
        <w:rPr/>
        <w:t xml:space="preserve">; миграции применяются автоматически при старте контейнера </w:t>
      </w:r>
      <w:r>
        <w:rPr>
          <w:rStyle w:val="VerbatimChar"/>
        </w:rPr>
        <w:t>server</w:t>
      </w:r>
      <w:r>
        <w:rPr/>
        <w:t xml:space="preserve"> (</w:t>
      </w:r>
      <w:r>
        <w:rPr>
          <w:rStyle w:val="VerbatimChar"/>
        </w:rPr>
        <w:t>prisma migrate deploy</w:t>
      </w:r>
      <w:r>
        <w:rPr/>
        <w:t>).</w:t>
      </w:r>
    </w:p>
    <w:p>
      <w:pPr>
        <w:pStyle w:val="Compact"/>
        <w:numPr>
          <w:ilvl w:val="0"/>
          <w:numId w:val="7"/>
        </w:numPr>
        <w:rPr/>
      </w:pPr>
      <w:r>
        <w:rPr/>
        <w:t>Перед обновлением рабочего контура снимается внеочередная резервная копия.</w:t>
      </w:r>
    </w:p>
    <w:p>
      <w:pPr>
        <w:pStyle w:val="Compact"/>
        <w:numPr>
          <w:ilvl w:val="0"/>
          <w:numId w:val="8"/>
        </w:numPr>
        <w:rPr/>
      </w:pPr>
      <w:r>
        <w:rPr/>
        <w:t>Опасные изменения (удаление, переименование) выполняются в два выпуска через добавляющие шаги.</w:t>
      </w:r>
    </w:p>
    <w:p>
      <w:pPr>
        <w:pStyle w:val="Compact"/>
        <w:numPr>
          <w:ilvl w:val="0"/>
          <w:numId w:val="9"/>
        </w:numPr>
        <w:rPr/>
      </w:pPr>
      <w:bookmarkStart w:id="11" w:name="миграции-базы-данных"/>
      <w:r>
        <w:rPr/>
        <w:t>Seed идемпотентен и ничего не удаляет; на рабочем контуре его запуск не требуется.</w:t>
      </w:r>
      <w:bookmarkEnd w:id="11"/>
    </w:p>
    <w:p>
      <w:pPr>
        <w:pStyle w:val="Heading1"/>
        <w:rPr/>
      </w:pPr>
      <w:bookmarkStart w:id="12" w:name="__RefHeading___Toc17482_1562542824"/>
      <w:bookmarkEnd w:id="12"/>
      <w:r>
        <w:rPr>
          <w:rStyle w:val="SectionNumber"/>
        </w:rPr>
        <w:t>6</w:t>
      </w:r>
      <w:r>
        <w:rPr/>
        <w:tab/>
        <w:t>Резервное копирование и мониторинг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Задача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Реализация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Резервное копирование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Сервис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pg_dump -Fc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раз в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BACKUP_INTERVAL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секунд (сутки), хранение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BACKUP_KEEP_DAYS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(14) дней, том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db-backups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; запись атомарная (через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.tmp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Проверка восстановления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Раз в месяц —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pg_restore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последней копии в пустую БД и сверка числа сотрудников и заявок (руководство по развёртыванию)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Пробы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/healthz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процесс жив;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/readyz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— доступна БД; healthcheck PostgreSQL в compose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Журналы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stdout контейнеров;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docker compose logs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; ротация средствами Docker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Плановое (v0.5)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Метрики Prometheus (p95, ошибки, пул соединений), реплика PostgreSQL для RPO 15 минут</w:t>
            </w:r>
            <w:bookmarkStart w:id="13" w:name="резервное-копирование-и-мониторинг"/>
            <w:bookmarkEnd w:id="13"/>
          </w:p>
        </w:tc>
      </w:tr>
    </w:tbl>
    <w:p>
      <w:pPr>
        <w:pStyle w:val="Heading1"/>
        <w:rPr/>
      </w:pPr>
      <w:bookmarkStart w:id="14" w:name="__RefHeading___Toc17484_1562542824"/>
      <w:bookmarkEnd w:id="14"/>
      <w:r>
        <w:rPr>
          <w:rStyle w:val="SectionNumber"/>
        </w:rPr>
        <w:t>7</w:t>
      </w:r>
      <w:r>
        <w:rPr/>
        <w:tab/>
        <w:t>Доступы</w:t>
      </w:r>
    </w:p>
    <w:tbl>
      <w:tblPr>
        <w:tblStyle w:val="Tabl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679"/>
        <w:gridCol w:w="4680"/>
      </w:tblGrid>
      <w:tr>
        <w:trPr>
          <w:tblHeader w:val="true"/>
        </w:trPr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6" w:space="0" w:color="000000"/>
              <w:right w:val="single" w:sz="4" w:space="0" w:color="D6DCEA"/>
            </w:tcBorders>
            <w:shd w:color="auto" w:fill="EEF2FB" w:val="clear"/>
            <w:vAlign w:val="bottom"/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b/>
                <w:kern w:val="0"/>
                <w:sz w:val="18"/>
                <w:szCs w:val="24"/>
                <w:lang w:val="en-US" w:eastAsia="en-US" w:bidi="ar-SA"/>
              </w:rPr>
              <w:t>Доступ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Разработчик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Репозитории GitHub и Gitea; права на push в ветки историй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Владелец (ревью)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CODEOWNERS: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contracts/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docs/specs/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, миграции,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auth/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>, workflows, зависимости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Оператор стенда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SSH к серверу,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.env</w:t>
            </w:r>
            <w:r>
              <w:rPr>
                <w:kern w:val="0"/>
                <w:sz w:val="18"/>
                <w:szCs w:val="24"/>
                <w:lang w:val="en-US" w:eastAsia="en-US" w:bidi="ar-SA"/>
              </w:rPr>
              <w:t xml:space="preserve"> стенда вне git, раннер </w:t>
            </w:r>
            <w:r>
              <w:rPr>
                <w:rStyle w:val="VerbatimChar"/>
                <w:kern w:val="0"/>
                <w:sz w:val="18"/>
                <w:szCs w:val="24"/>
                <w:lang w:val="en-US" w:eastAsia="en-US" w:bidi="ar-SA"/>
              </w:rPr>
              <w:t>deploy</w:t>
            </w:r>
          </w:p>
        </w:tc>
      </w:tr>
      <w:tr>
        <w:trPr/>
        <w:tc>
          <w:tcPr>
            <w:tcW w:w="4679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Администратор приложения</w:t>
            </w:r>
          </w:p>
        </w:tc>
        <w:tc>
          <w:tcPr>
            <w:tcW w:w="4680" w:type="dxa"/>
            <w:tcBorders>
              <w:top w:val="single" w:sz="4" w:space="0" w:color="D6DCEA"/>
              <w:left w:val="single" w:sz="4" w:space="0" w:color="D6DCEA"/>
              <w:bottom w:val="single" w:sz="4" w:space="0" w:color="D6DCEA"/>
              <w:right w:val="single" w:sz="4" w:space="0" w:color="D6DCEA"/>
            </w:tcBorders>
          </w:tcPr>
          <w:p>
            <w:pPr>
              <w:pStyle w:val="Compact"/>
              <w:widowControl/>
              <w:spacing w:before="36" w:after="40"/>
              <w:jc w:val="left"/>
              <w:rPr>
                <w:kern w:val="0"/>
                <w:szCs w:val="24"/>
                <w:lang w:val="en-US" w:eastAsia="en-US" w:bidi="ar-SA"/>
              </w:rPr>
            </w:pPr>
            <w:r>
              <w:rPr>
                <w:kern w:val="0"/>
                <w:sz w:val="18"/>
                <w:szCs w:val="24"/>
                <w:lang w:val="en-US" w:eastAsia="en-US" w:bidi="ar-SA"/>
              </w:rPr>
              <w:t>Учётная запись с признаком администратора внутри приложения</w:t>
            </w:r>
          </w:p>
        </w:tc>
      </w:tr>
    </w:tbl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0.4.0 · Стенды, CI/CD и выпуск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00"/>
      <w:rPr/>
    </w:pPr>
    <w:r>
      <w:rPr>
        <w:color w:val="8A92A6"/>
        <w:sz w:val="16"/>
      </w:rPr>
      <w:t xml:space="preserve">Планировщик отпусков 0.4.0 · Стенды, CI/CD и выпуск · стр.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10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  <w:num w:numId="6">
    <w:abstractNumId w:val="1"/>
  </w:num>
  <w:num w:numId="7">
    <w:abstractNumId w:val="1"/>
  </w:num>
  <w:num w:numId="8">
    <w:abstractNumId w:val="1"/>
  </w:num>
  <w:num w:numId="9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lineRule="auto" w:line="276" w:before="0" w:after="100"/>
      <w:jc w:val="left"/>
    </w:pPr>
    <w:rPr>
      <w:rFonts w:ascii="Arial" w:hAnsi="Arial" w:eastAsia="Arial" w:cs="Arial"/>
      <w:color w:val="1D2433"/>
      <w:kern w:val="0"/>
      <w:sz w:val="21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pageBreakBefore/>
      <w:spacing w:before="280" w:after="120"/>
      <w:outlineLvl w:val="0"/>
    </w:pPr>
    <w:rPr>
      <w:rFonts w:ascii="Arial" w:hAnsi="Arial" w:eastAsia="Arial" w:cs="Arial"/>
      <w:b/>
      <w:bCs/>
      <w:color w:val="1D2433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120"/>
      <w:outlineLvl w:val="1"/>
    </w:pPr>
    <w:rPr>
      <w:rFonts w:ascii="Arial" w:hAnsi="Arial" w:eastAsia="Arial" w:cs="Arial"/>
      <w:b/>
      <w:bCs/>
      <w:color w:val="2F4FD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120"/>
      <w:outlineLvl w:val="2"/>
    </w:pPr>
    <w:rPr>
      <w:rFonts w:ascii="Arial" w:hAnsi="Arial" w:eastAsia="Arial" w:cs="Arial"/>
      <w:b/>
      <w:bCs/>
      <w:color w:val="1D2433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120"/>
      <w:outlineLvl w:val="3"/>
    </w:pPr>
    <w:rPr>
      <w:rFonts w:ascii="Arial" w:hAnsi="Arial" w:eastAsia="Arial" w:cs="Arial"/>
      <w:b/>
      <w:bCs/>
      <w:i/>
      <w:color w:val="1D2433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spacing w:lineRule="auto" w:line="276" w:before="180" w:after="100"/>
    </w:pPr>
    <w:rPr>
      <w:rFonts w:ascii="Arial" w:hAnsi="Arial" w:eastAsia="Arial" w:cs="Arial"/>
      <w:color w:val="1D2433"/>
      <w:sz w:val="21"/>
    </w:rPr>
  </w:style>
  <w:style w:type="paragraph" w:styleId="Compact" w:customStyle="1">
    <w:name w:val="Compact"/>
    <w:basedOn w:val="BodyText"/>
    <w:qFormat/>
    <w:pPr>
      <w:spacing w:lineRule="auto" w:line="276" w:before="36" w:after="100"/>
    </w:pPr>
    <w:rPr>
      <w:rFonts w:ascii="Arial" w:hAnsi="Arial" w:eastAsia="Arial" w:cs="Arial"/>
      <w:color w:val="1D2433"/>
      <w:sz w:val="21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Arial" w:hAnsi="Arial" w:eastAsia="Arial" w:cs="Arial"/>
      <w:b/>
      <w:bCs/>
      <w:color w:val="1D2433"/>
      <w:sz w:val="5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Arial" w:hAnsi="Arial" w:eastAsia="Arial" w:cs="Arial"/>
      <w:b w:val="false"/>
      <w:color w:val="2F4FD1"/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rial" w:hAnsi="Arial" w:eastAsia="Arial" w:cs="Arial"/>
      <w:b w:val="false"/>
      <w:color w:val="6B7385"/>
      <w:kern w:val="0"/>
      <w:sz w:val="22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>
      <w:rFonts w:ascii="Arial" w:hAnsi="Arial" w:eastAsia="Arial" w:cs="Arial"/>
      <w:b w:val="false"/>
      <w:color w:val="1D2433"/>
      <w:sz w:val="20"/>
    </w:rPr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>
      <w:rFonts w:ascii="Arial" w:hAnsi="Arial" w:eastAsia="Arial" w:cs="Arial"/>
      <w:b w:val="false"/>
      <w:i w:val="false"/>
      <w:color w:val="6B7385"/>
      <w:sz w:val="18"/>
    </w:rPr>
  </w:style>
  <w:style w:type="paragraph" w:styleId="ImageCaption" w:customStyle="1">
    <w:name w:val="Image Caption"/>
    <w:basedOn w:val="Caption"/>
    <w:qFormat/>
    <w:pPr/>
    <w:rPr>
      <w:rFonts w:ascii="Arial" w:hAnsi="Arial" w:eastAsia="Arial" w:cs="Arial"/>
      <w:b w:val="false"/>
      <w:i w:val="false"/>
      <w:color w:val="6B7385"/>
      <w:sz w:val="18"/>
    </w:rPr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120"/>
      <w:outlineLvl w:val="9"/>
    </w:pPr>
    <w:rPr>
      <w:rFonts w:ascii="Arial" w:hAnsi="Arial" w:eastAsia="Arial" w:cs="Arial"/>
      <w:b/>
      <w:bCs w:val="false"/>
      <w:color w:val="1D2433"/>
      <w:sz w:val="36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2026-10-28T17:53:21Z</dcterms:created>
  <dc:creator/>
  <dc:description/>
  <dc:language>en-US</dc:language>
  <cp:lastModifiedBy/>
  <dcterms:modified xsi:type="dcterms:W3CDTF">2026-10-28T17:54:11Z</dcterms:modified>
  <cp:revision>1</cp:revision>
  <dc:subject/>
  <dc:title>Стенды, CI/CD и выпуск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28 октября 2026</vt:lpwstr>
  </property>
  <property fmtid="{D5CDD505-2E9C-101B-9397-08002B2CF9AE}" pid="3" name="subtitle">
    <vt:lpwstr>Планировщик отпусков 0.4.0 · Окружения, конвейеры, версии и эксплуатация</vt:lpwstr>
  </property>
  <property fmtid="{D5CDD505-2E9C-101B-9397-08002B2CF9AE}" pid="4" name="toc-title">
    <vt:lpwstr>Содержание</vt:lpwstr>
  </property>
</Properties>
</file>