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Техническое задание</w:t>
      </w:r>
    </w:p>
    <w:p>
      <w:pPr>
        <w:pStyle w:val="Subtitle"/>
        <w:rPr/>
      </w:pPr>
      <w:r>
        <w:rPr/>
        <w:t>Планировщик отпусков 1.0.0 · Требования к корпоративному планировщику отпусков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660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62_1804324697">
            <w:r>
              <w:rPr>
                <w:webHidden/>
                <w:rStyle w:val="IndexLink"/>
              </w:rPr>
              <w:t>2 Назначение и цели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64_1804324697">
            <w:r>
              <w:rPr>
                <w:webHidden/>
                <w:rStyle w:val="IndexLink"/>
              </w:rPr>
              <w:t>3 Границы системы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66_1804324697">
            <w:r>
              <w:rPr>
                <w:webHidden/>
                <w:rStyle w:val="IndexLink"/>
              </w:rPr>
              <w:t>4 Роли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68_1804324697">
            <w:r>
              <w:rPr>
                <w:webHidden/>
                <w:rStyle w:val="IndexLink"/>
              </w:rPr>
              <w:t>5 Функциональные требования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70_1804324697">
            <w:r>
              <w:rPr>
                <w:webHidden/>
                <w:rStyle w:val="IndexLink"/>
              </w:rPr>
              <w:t>6 Сценарии приёмки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72_1804324697">
            <w:r>
              <w:rPr>
                <w:webHidden/>
                <w:rStyle w:val="IndexLink"/>
              </w:rPr>
              <w:t>7 Нефункциональные требования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74_1804324697">
            <w:r>
              <w:rPr>
                <w:webHidden/>
                <w:rStyle w:val="IndexLink"/>
              </w:rPr>
              <w:t>8 Требования к безопасности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76_1804324697">
            <w:r>
              <w:rPr>
                <w:webHidden/>
                <w:rStyle w:val="IndexLink"/>
              </w:rPr>
              <w:t>9 Архитектура и данные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78_1804324697">
            <w:r>
              <w:rPr>
                <w:webHidden/>
                <w:rStyle w:val="IndexLink"/>
              </w:rPr>
              <w:t>10 Поставка и сопровождение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80_1804324697">
            <w:r>
              <w:rPr>
                <w:webHidden/>
                <w:rStyle w:val="IndexLink"/>
              </w:rPr>
              <w:t>11 Приёмка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82_1804324697">
            <w:r>
              <w:rPr>
                <w:webHidden/>
                <w:rStyle w:val="IndexLink"/>
              </w:rPr>
              <w:t>12 Риски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7660_180432469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Техническое задание на корпоративную систему «Планировщик отпусков»: назначение, границы, роли, функциональные и нефункциональные требования, требования к безопасности, поставке и приёмке. Задание выросло из исходного задания на этап 1 (переход от прототипа к корпоративному инструменту) и уточнено по итогам версий 0.1–0.3.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Заказчик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Исполнитель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разработки с ИИ-ассистентами (документ 6)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Правообладатель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Александр Юрасов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Целевой масштаб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 пользователей при вводе, рост до 5000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27662_1804324697"/>
      <w:bookmarkEnd w:id="2"/>
      <w:r>
        <w:rPr>
          <w:rStyle w:val="SectionNumber"/>
        </w:rPr>
        <w:t>2</w:t>
      </w:r>
      <w:r>
        <w:rPr/>
        <w:tab/>
        <w:t>Назначение и цели</w:t>
      </w:r>
    </w:p>
    <w:p>
      <w:pPr>
        <w:pStyle w:val="FirstParagraph"/>
        <w:rPr/>
      </w:pPr>
      <w:r>
        <w:rPr/>
        <w:t>Система ведёт планирование и согласование ежегодных отпусков организации: график всей компании, заявки с согласованием руководителем, балансы дней по нормам Трудового кодекса, режим работы офис/удалёнка, аналитику пересечений внутри отделов и неизменяемый журнал изменений.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 одной потери данных при одновременной работе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инцидентов; тесты гонок в CI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Правильный учёт дней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не входят в отпуск; лимит не обходится; расчёт совпадает с ручной проверкой кадровой службы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видит риски отдела заранее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Конфликты выше порога и выводы доступны на год вперёд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Безопасность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Пароли только в хешах; права на сервере; нет XSS; аудит каждого изменения — приёмка ИБ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5000 пользователей, 500 одновременных; p95 чтения ≤ 300 мс</w:t>
            </w:r>
          </w:p>
        </w:tc>
      </w:tr>
    </w:tbl>
    <w:p>
      <w:pPr>
        <w:pStyle w:val="Heading1"/>
        <w:rPr/>
      </w:pPr>
      <w:bookmarkStart w:id="3" w:name="__RefHeading___Toc27664_1804324697"/>
      <w:bookmarkEnd w:id="3"/>
      <w:r>
        <w:rPr>
          <w:rStyle w:val="SectionNumber"/>
        </w:rPr>
        <w:t>3</w:t>
      </w:r>
      <w:r>
        <w:rPr/>
        <w:tab/>
        <w:t>Границы системы</w:t>
      </w:r>
    </w:p>
    <w:p>
      <w:pPr>
        <w:pStyle w:val="FirstParagraph"/>
        <w:rPr/>
      </w:pPr>
      <w:r>
        <w:rPr>
          <w:b/>
          <w:bCs/>
        </w:rPr>
        <w:t>Входит:</w:t>
      </w:r>
      <w:r>
        <w:rPr/>
        <w:t xml:space="preserve"> заявки и их жизненный цикл, согласование, график отпусков, балансы и лимиты, производственный календарь, подбор дат, аналитика отдела, график работы, сотрудники и оргструктура, правила организации, уведомления в интерфейсе, выгрузки XLSX, журнал аудита, резервное копирование; с v0.6.0 — кампания планирования на год, утверждение графика и форма Т-7, извещения о начале отпуска с ознакомлением, замещение и эскалация согласования, журнал входов, блокировка и управление сеансами, политика паролей.</w:t>
      </w:r>
    </w:p>
    <w:p>
      <w:pPr>
        <w:pStyle w:val="BodyText"/>
        <w:rPr/>
      </w:pPr>
      <w:r>
        <w:rPr>
          <w:b/>
          <w:bCs/>
        </w:rPr>
        <w:t>Не входит в v1.0:</w:t>
      </w:r>
      <w:r>
        <w:rPr/>
        <w:t xml:space="preserve"> больничные и иные виды отсутствия, кадровые приказы (Т-6) и расчёт отпускных, несколько юрлиц в одном экземпляре, мобильное приложение (адаптивная вёрстка — входит).</w:t>
      </w:r>
    </w:p>
    <w:p>
      <w:pPr>
        <w:pStyle w:val="BodyText"/>
        <w:rPr/>
      </w:pPr>
      <w:r>
        <w:rPr>
          <w:b/>
          <w:bCs/>
        </w:rPr>
        <w:t>Интеграции (v0.4.0):</w:t>
      </w:r>
      <w:r>
        <w:rPr/>
        <w:t xml:space="preserve"> импорт из кадровой системы, единый вход OIDC/AD, почтовый релей.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62125"/>
            <wp:effectExtent l="0" t="0" r="0" b="0"/>
            <wp:docPr id="1" name="Picture" descr="Контекст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Контекст систе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Контекст системы</w:t>
      </w:r>
    </w:p>
    <w:p>
      <w:pPr>
        <w:pStyle w:val="Heading1"/>
        <w:rPr/>
      </w:pPr>
      <w:bookmarkStart w:id="4" w:name="__RefHeading___Toc27666_1804324697"/>
      <w:bookmarkStart w:id="5" w:name="роли"/>
      <w:bookmarkEnd w:id="4"/>
      <w:r>
        <w:rPr>
          <w:rStyle w:val="SectionNumber"/>
        </w:rPr>
        <w:t>4</w:t>
      </w:r>
      <w:r>
        <w:rPr/>
        <w:tab/>
        <w:t>Роли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1920"/>
            <wp:effectExtent l="0" t="0" r="0" b="0"/>
            <wp:docPr id="2" name="Image2" descr="Роли и их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оли и их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Роли и их возможности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Возможности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баланс, заявки, перенос и отмена; подбор дат; свой график работы; график организации; аналитика своего отдела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Возможности сотрудника; согласование заявок подчинённых; оформление отпуска за подчинённого; график работы подчинённых; аналитика своих отделов; выгрузка своей области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Заместитель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период замещения — согласование заявок команды руководителя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импорт, оргструктура, календарь, кампания планирования, утверждение графика и форма Т-7, журнал извещений, журналы аудита и входов, блокировки и сеансы сотрудников, выгрузки и аналитика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Всё по организации: сотрудники, справочники, календарь, правила, журнал аудита, все заявки и выгрузки</w:t>
            </w:r>
          </w:p>
        </w:tc>
      </w:tr>
    </w:tbl>
    <w:p>
      <w:pPr>
        <w:pStyle w:val="BodyText"/>
        <w:rPr/>
      </w:pPr>
      <w:bookmarkStart w:id="6" w:name="роли"/>
      <w:r>
        <w:rPr/>
        <w:t>Подробная матрица — документ 2, раздел «Матрица прав».</w:t>
      </w:r>
      <w:bookmarkEnd w:id="6"/>
    </w:p>
    <w:p>
      <w:pPr>
        <w:pStyle w:val="Heading1"/>
        <w:rPr/>
      </w:pPr>
      <w:bookmarkStart w:id="7" w:name="__RefHeading___Toc27668_1804324697"/>
      <w:bookmarkEnd w:id="7"/>
      <w:r>
        <w:rPr>
          <w:rStyle w:val="SectionNumber"/>
        </w:rPr>
        <w:t>5</w:t>
      </w:r>
      <w:r>
        <w:rPr/>
        <w:tab/>
        <w:t>Функциональные требования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логину и паролю или через единый вход; сеанс продлевается автоматически; смена пароля завершает все сеансы; политика паролей, смена выданного пароля при первом входе, временная блокировка после серии неудачных попыток, список и завершение сеансов (с v0.6.0)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FR-2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на отпуск с проверкой дат, пересечений со своими заявками и лимита по политике организации (жёсткая или мягкая)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FR-3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Жизненный цикл: на согласовании → согласован / отклонён; перенос согласованного с сохранением прежних дат до решения; запрос удаления; отмена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FR-4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Баланс: норма + перенос − согласовано − на согласовании; праздники не входят в дни отпуска (ТК РФ, ст. 120); признак части не короче 14 дней (ст. 125)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FR-5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 руководителем по оргструктуре с показом пересечений в отделе; причина отклонения обязательна; замещение руководителя на период и эскалация заявки без решения вышестоящему (с v0.6.0)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FR-6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организации на год: отделы, поиск, масштаб, праздники, нагрузка, конфликты, сравнение сотрудников, выгрузка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FR-7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отдела: доля в отпуске по месяцам, периоды конфликтов, выводы, распределение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FR-8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до пяти окон отпуска с учётом нагрузки отдела, праздников и своих отпусков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FR-9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 офис/удалёнка: недельный шаблон и разовые исключения; состав отдела на дату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отделы, проекты; защита последнего администратора; удаление только пустого отдела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FR-11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 по годам; правила организации (порог конфликта 20–80 %, политика лимита, норма дней)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FR-12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о заявках и решениях с непрочитанными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FR-13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XLSX по области прав без логинов и паролей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FR-14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аудита: автор, время, действие, объект, значения до и после; неизменяем из приложения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FR-15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 на год: приглашение со сроком, прогресс по отделам и сотрудникам (норма, часть не короче 14 дней), напоминания (с v0.6.0)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FR-16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 один раз до начала года с номером и датой документа и мнением профсоюза; форма Т-7 (ОКУД 0301020) с переносами после утверждения (ТК РФ, ст. 123; с v0.6.0)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FR-17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о начале отпуска не позднее чем за две недели, ознакомление сотрудника, журнал кадровой службы и лист для подписи (ТК РФ, ст. 123–124; с v0.6.0)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FR-18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входов: успешные и неуспешные попытки, блокировки, адрес и браузер; срок хранения — правило организации (с v0.6.0)</w:t>
            </w:r>
            <w:bookmarkStart w:id="8" w:name="функциональные-требования"/>
            <w:bookmarkEnd w:id="8"/>
          </w:p>
        </w:tc>
      </w:tr>
    </w:tbl>
    <w:p>
      <w:pPr>
        <w:pStyle w:val="Heading1"/>
        <w:rPr/>
      </w:pPr>
      <w:bookmarkStart w:id="9" w:name="__RefHeading___Toc27670_1804324697"/>
      <w:bookmarkEnd w:id="9"/>
      <w:r>
        <w:rPr>
          <w:rStyle w:val="SectionNumber"/>
        </w:rPr>
        <w:t>6</w:t>
      </w:r>
      <w:r>
        <w:rPr/>
        <w:tab/>
        <w:t>Сценарии приёмки</w:t>
      </w:r>
    </w:p>
    <w:p>
      <w:pPr>
        <w:pStyle w:val="Compact"/>
        <w:numPr>
          <w:ilvl w:val="0"/>
          <w:numId w:val="6"/>
        </w:numPr>
        <w:rPr/>
      </w:pPr>
      <w:r>
        <w:rPr/>
        <w:t>Сотрудник подаёт заявку → руководитель видит её в очереди и колокольчике → согласует → сотрудник получает уведомление, график и баланс обновлены.</w:t>
      </w:r>
    </w:p>
    <w:p>
      <w:pPr>
        <w:pStyle w:val="Compact"/>
        <w:numPr>
          <w:ilvl w:val="0"/>
          <w:numId w:val="1"/>
        </w:numPr>
        <w:rPr/>
      </w:pPr>
      <w:r>
        <w:rPr/>
        <w:t>Отпуск 1–14 мая с тремя праздниками расходует 11 дней отпуска.</w:t>
      </w:r>
    </w:p>
    <w:p>
      <w:pPr>
        <w:pStyle w:val="Compact"/>
        <w:numPr>
          <w:ilvl w:val="0"/>
          <w:numId w:val="1"/>
        </w:numPr>
        <w:rPr/>
      </w:pPr>
      <w:r>
        <w:rPr/>
        <w:t>Две пересекающиеся заявки, отправленные одновременно, — создаётся одна; два одновременных решения — применяется одно, второе получает «данные изменились».</w:t>
      </w:r>
    </w:p>
    <w:p>
      <w:pPr>
        <w:pStyle w:val="Compact"/>
        <w:numPr>
          <w:ilvl w:val="0"/>
          <w:numId w:val="1"/>
        </w:numPr>
        <w:rPr/>
      </w:pPr>
      <w:r>
        <w:rPr/>
        <w:t>Перенос согласованного отпуска → на согласовании; отклонение → прежние даты.</w:t>
      </w:r>
    </w:p>
    <w:p>
      <w:pPr>
        <w:pStyle w:val="Compact"/>
        <w:numPr>
          <w:ilvl w:val="0"/>
          <w:numId w:val="1"/>
        </w:numPr>
        <w:rPr/>
      </w:pPr>
      <w:r>
        <w:rPr/>
        <w:t>Заявка сверх доступного при жёсткой политике → отказ с понятным текстом; при мягкой — отправка с предупреждением.</w:t>
      </w:r>
    </w:p>
    <w:p>
      <w:pPr>
        <w:pStyle w:val="Compact"/>
        <w:numPr>
          <w:ilvl w:val="0"/>
          <w:numId w:val="1"/>
        </w:numPr>
        <w:rPr/>
      </w:pPr>
      <w:r>
        <w:rPr/>
        <w:t>Подбор дат не предлагает окна, где отдел превысит порог, и окна, пересекающиеся со своими отпусками.</w:t>
      </w:r>
    </w:p>
    <w:p>
      <w:pPr>
        <w:pStyle w:val="Compact"/>
        <w:numPr>
          <w:ilvl w:val="0"/>
          <w:numId w:val="1"/>
        </w:numPr>
        <w:rPr/>
      </w:pPr>
      <w:r>
        <w:rPr/>
        <w:t>Руководитель не видит аналитику чужого отдела; выгрузка руководителя без отдела содержит только его подчинённых.</w:t>
      </w:r>
    </w:p>
    <w:p>
      <w:pPr>
        <w:pStyle w:val="Compact"/>
        <w:numPr>
          <w:ilvl w:val="0"/>
          <w:numId w:val="1"/>
        </w:numPr>
        <w:rPr/>
      </w:pPr>
      <w:r>
        <w:rPr/>
        <w:t>Удаление последнего администратора и непустого отдела → отказ с кодом из каталога.</w:t>
      </w:r>
    </w:p>
    <w:p>
      <w:pPr>
        <w:pStyle w:val="Compact"/>
        <w:numPr>
          <w:ilvl w:val="0"/>
          <w:numId w:val="1"/>
        </w:numPr>
        <w:rPr/>
      </w:pPr>
      <w:r>
        <w:rPr/>
        <w:t>Любое изменение данных, включая график работы и правила, — запись в журнале аудита.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Пароль не отображается и не выгружается; имя </w:t>
      </w:r>
      <w:r>
        <w:rPr>
          <w:rStyle w:val="VerbatimChar"/>
        </w:rPr>
        <w:t>&lt;img src=x onerror=alert(1)&gt;</w:t>
      </w:r>
      <w:r>
        <w:rPr/>
        <w:t xml:space="preserve"> отображается текстом; CSP не нарушается.</w:t>
      </w:r>
    </w:p>
    <w:p>
      <w:pPr>
        <w:pStyle w:val="Compact"/>
        <w:numPr>
          <w:ilvl w:val="0"/>
          <w:numId w:val="1"/>
        </w:numPr>
        <w:rPr/>
      </w:pPr>
      <w:r>
        <w:rPr/>
        <w:t>Кадровая служба открывает планирование следующего года → сотрудник видит приглашение и прогресс → кадровая служба утверждает график → форма Т-7 содержит согласованные отпуска; перенос после утверждения — в графах 8–9.</w:t>
      </w:r>
    </w:p>
    <w:p>
      <w:pPr>
        <w:pStyle w:val="Compact"/>
        <w:numPr>
          <w:ilvl w:val="0"/>
          <w:numId w:val="1"/>
        </w:numPr>
        <w:rPr/>
      </w:pPr>
      <w:r>
        <w:rPr/>
        <w:t>За две недели до начала согласованного отпуска сотрудник получает извещение и подтверждает ознакомление; кадровая служба видит отметку в журнале.</w:t>
      </w:r>
    </w:p>
    <w:p>
      <w:pPr>
        <w:pStyle w:val="Compact"/>
        <w:numPr>
          <w:ilvl w:val="0"/>
          <w:numId w:val="1"/>
        </w:numPr>
        <w:rPr/>
      </w:pPr>
      <w:r>
        <w:rPr/>
        <w:t>Руководитель передаёт согласование заместителю → заместитель согласует заявку команды; свою — нет.</w:t>
      </w:r>
    </w:p>
    <w:p>
      <w:pPr>
        <w:pStyle w:val="Compact"/>
        <w:numPr>
          <w:ilvl w:val="0"/>
          <w:numId w:val="1"/>
        </w:numPr>
        <w:rPr/>
      </w:pPr>
      <w:r>
        <w:rPr/>
        <w:t>После серии неверных паролей учётная запись блокируется, сотрудник получает уведомление; кадровая служба снимает блокировку; попытки видны в журнале входов.</w:t>
      </w:r>
    </w:p>
    <w:p>
      <w:pPr>
        <w:pStyle w:val="Compact"/>
        <w:numPr>
          <w:ilvl w:val="0"/>
          <w:numId w:val="1"/>
        </w:numPr>
        <w:rPr/>
      </w:pPr>
      <w:r>
        <w:rPr/>
        <w:t>Выданный кадровой службой пароль нужно сменить при первом входе; слабый пароль отклоняется с причиной; сеанс, завершённый из профиля, перестаёт работать.</w:t>
      </w:r>
    </w:p>
    <w:p>
      <w:pPr>
        <w:pStyle w:val="Heading1"/>
        <w:rPr/>
      </w:pPr>
      <w:bookmarkStart w:id="10" w:name="__RefHeading___Toc27672_1804324697"/>
      <w:bookmarkEnd w:id="10"/>
      <w:r>
        <w:rPr>
          <w:rStyle w:val="SectionNumber"/>
        </w:rPr>
        <w:t>7</w:t>
      </w:r>
      <w:r>
        <w:rPr/>
        <w:tab/>
        <w:t>Нефункциональные требования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Область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Производительность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чтения ≤ 300 мс, записи ≤ 500 мс при 500 одновременных пользователях из 5000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99,5 % в рабочие часы; плановые работы вне рабочего времени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RPO 24 ч, RTO 1 ч при вводе; RPO 15 мин с репликой (v0.5.0); ежемесячная проверка восстановления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Совместимость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Две последние версии Chrome, Edge, Firefox, Safari; ширина от 360 px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Доступность 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Клавиатурная навигация, контраст текста не ниже WCAG AA, состояние не передаётся только цветом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Локализация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Русский язык; часовой пояс организации; формат дат ДД.ММ.ГГГГ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 Compose на Linux; работа в закрытом контуре без доступа в интернет</w:t>
            </w:r>
            <w:bookmarkStart w:id="11" w:name="нефункциональные-требования"/>
            <w:bookmarkEnd w:id="11"/>
          </w:p>
        </w:tc>
      </w:tr>
    </w:tbl>
    <w:p>
      <w:pPr>
        <w:pStyle w:val="Heading1"/>
        <w:rPr/>
      </w:pPr>
      <w:bookmarkStart w:id="12" w:name="__RefHeading___Toc27674_1804324697"/>
      <w:bookmarkEnd w:id="12"/>
      <w:r>
        <w:rPr>
          <w:rStyle w:val="SectionNumber"/>
        </w:rPr>
        <w:t>8</w:t>
      </w:r>
      <w:r>
        <w:rPr/>
        <w:tab/>
        <w:t>Требования к безопасности</w:t>
      </w:r>
    </w:p>
    <w:p>
      <w:pPr>
        <w:pStyle w:val="Compact"/>
        <w:numPr>
          <w:ilvl w:val="0"/>
          <w:numId w:val="7"/>
        </w:numPr>
        <w:rPr/>
      </w:pPr>
      <w:r>
        <w:rPr/>
        <w:t>Пароли — только scrypt-хеши; минимальная длина 8 символов; одноразовый пароль при создании и сбросе.</w:t>
      </w:r>
    </w:p>
    <w:p>
      <w:pPr>
        <w:pStyle w:val="Compact"/>
        <w:numPr>
          <w:ilvl w:val="0"/>
          <w:numId w:val="8"/>
        </w:numPr>
        <w:rPr/>
      </w:pPr>
      <w:r>
        <w:rPr/>
        <w:t>Access-токен 15 минут в памяти клиента; refresh — httpOnly-cookie с ротацией и отзывом.</w:t>
      </w:r>
    </w:p>
    <w:p>
      <w:pPr>
        <w:pStyle w:val="Compact"/>
        <w:numPr>
          <w:ilvl w:val="0"/>
          <w:numId w:val="9"/>
        </w:numPr>
        <w:rPr/>
      </w:pPr>
      <w:r>
        <w:rPr/>
        <w:t>Ограничение частоты входа по паре «адрес + логин» и по адресу; адрес клиента — из заголовка доверенного прокси.</w:t>
      </w:r>
    </w:p>
    <w:p>
      <w:pPr>
        <w:pStyle w:val="Compact"/>
        <w:numPr>
          <w:ilvl w:val="0"/>
          <w:numId w:val="10"/>
        </w:numPr>
        <w:rPr/>
      </w:pPr>
      <w:r>
        <w:rPr/>
        <w:t>Права проверяются на сервере для каждой операции; данные чужих отделов не уходят в браузер.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CSP без inline-скриптов, запрет встраивания во фреймы, заголовки </w:t>
      </w:r>
      <w:r>
        <w:rPr>
          <w:rStyle w:val="VerbatimChar"/>
        </w:rPr>
        <w:t>X-Content-Type-Options</w:t>
      </w:r>
      <w:r>
        <w:rPr/>
        <w:t xml:space="preserve">, </w:t>
      </w:r>
      <w:r>
        <w:rPr>
          <w:rStyle w:val="VerbatimChar"/>
        </w:rPr>
        <w:t>Referrer-Policy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Секреты только в окружении; сервер не стартует со слабым </w:t>
      </w:r>
      <w:r>
        <w:rPr>
          <w:rStyle w:val="VerbatimChar"/>
        </w:rPr>
        <w:t>JWT_SECRET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/>
        <w:t>Сторонние компоненты — только под разрешительными лицензиями (документ 11).</w:t>
      </w:r>
    </w:p>
    <w:p>
      <w:pPr>
        <w:pStyle w:val="Heading1"/>
        <w:rPr/>
      </w:pPr>
      <w:bookmarkStart w:id="13" w:name="__RefHeading___Toc27676_1804324697"/>
      <w:bookmarkStart w:id="14" w:name="архитектура-и-данные"/>
      <w:bookmarkEnd w:id="13"/>
      <w:r>
        <w:rPr>
          <w:rStyle w:val="SectionNumber"/>
        </w:rPr>
        <w:t>9</w:t>
      </w:r>
      <w:r>
        <w:rPr/>
        <w:tab/>
        <w:t>Архитектура и данные</w:t>
      </w:r>
    </w:p>
    <w:p>
      <w:pPr>
        <w:pStyle w:val="FirstParagraph"/>
        <w:rPr/>
      </w:pPr>
      <w:bookmarkStart w:id="15" w:name="архитектура-и-данные"/>
      <w:r>
        <w:rPr/>
        <w:t>Клиент-серверное веб-приложение: SPA на Vue 3, REST API v1 на NestJS 11, PostgreSQL 17, поставка в контейнерах Docker за nginx. Описание — документ 1; протокол — документ 2 и контракт OpenAPI; модель данных — документ 4.</w:t>
      </w:r>
      <w:bookmarkEnd w:id="15"/>
    </w:p>
    <w:p>
      <w:pPr>
        <w:pStyle w:val="Heading1"/>
        <w:rPr/>
      </w:pPr>
      <w:bookmarkStart w:id="16" w:name="__RefHeading___Toc27678_1804324697"/>
      <w:bookmarkStart w:id="17" w:name="поставка-и-сопровождение"/>
      <w:bookmarkEnd w:id="16"/>
      <w:r>
        <w:rPr>
          <w:rStyle w:val="SectionNumber"/>
        </w:rPr>
        <w:t>10</w:t>
      </w:r>
      <w:r>
        <w:rPr/>
        <w:tab/>
        <w:t>Поставка и сопровождение</w:t>
      </w:r>
    </w:p>
    <w:p>
      <w:pPr>
        <w:pStyle w:val="Compact"/>
        <w:numPr>
          <w:ilvl w:val="0"/>
          <w:numId w:val="14"/>
        </w:numPr>
        <w:rPr/>
      </w:pPr>
      <w:r>
        <w:rPr/>
        <w:t>Исходный код, контракт OpenAPI, миграции, Docker-файлы и конвейеры CI.</w:t>
      </w:r>
    </w:p>
    <w:p>
      <w:pPr>
        <w:pStyle w:val="Compact"/>
        <w:numPr>
          <w:ilvl w:val="0"/>
          <w:numId w:val="15"/>
        </w:numPr>
        <w:rPr/>
      </w:pPr>
      <w:r>
        <w:rPr/>
        <w:t>Комплект документов в Markdown, PDF и DOCX: спецификации 00–11, руководства пользователя, администратора и по развёртыванию, история версий.</w:t>
      </w:r>
    </w:p>
    <w:p>
      <w:pPr>
        <w:pStyle w:val="Compact"/>
        <w:numPr>
          <w:ilvl w:val="0"/>
          <w:numId w:val="16"/>
        </w:numPr>
        <w:rPr/>
      </w:pPr>
      <w:r>
        <w:rPr/>
        <w:t>SBOM в формате CycloneDX и отчёт о лицензиях на каждую версию.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Версии </w:t>
      </w:r>
      <w:r>
        <w:rPr>
          <w:rStyle w:val="VerbatimChar"/>
        </w:rPr>
        <w:t>v0.x.y</w:t>
      </w:r>
      <w:r>
        <w:rPr/>
        <w:t xml:space="preserve"> в собственных ветках; </w:t>
      </w:r>
      <w:r>
        <w:rPr>
          <w:rStyle w:val="VerbatimChar"/>
        </w:rPr>
        <w:t>main</w:t>
      </w:r>
      <w:r>
        <w:rPr/>
        <w:t xml:space="preserve"> — только принятые версии с тегами.</w:t>
      </w:r>
      <w:bookmarkEnd w:id="17"/>
    </w:p>
    <w:p>
      <w:pPr>
        <w:pStyle w:val="Heading1"/>
        <w:rPr/>
      </w:pPr>
      <w:bookmarkStart w:id="18" w:name="__RefHeading___Toc27680_1804324697"/>
      <w:bookmarkStart w:id="19" w:name="приёмка"/>
      <w:bookmarkEnd w:id="18"/>
      <w:r>
        <w:rPr>
          <w:rStyle w:val="SectionNumber"/>
        </w:rPr>
        <w:t>11</w:t>
      </w:r>
      <w:r>
        <w:rPr/>
        <w:tab/>
        <w:t>Приёмка</w:t>
      </w:r>
    </w:p>
    <w:p>
      <w:pPr>
        <w:pStyle w:val="Compact"/>
        <w:numPr>
          <w:ilvl w:val="0"/>
          <w:numId w:val="18"/>
        </w:numPr>
        <w:rPr/>
      </w:pPr>
      <w:r>
        <w:rPr/>
        <w:t>Оба конвейера CI зелёные на теге версии: модульные, e2e API и интерфейса, сверка контракта, SBOM.</w:t>
      </w:r>
    </w:p>
    <w:p>
      <w:pPr>
        <w:pStyle w:val="Compact"/>
        <w:numPr>
          <w:ilvl w:val="0"/>
          <w:numId w:val="19"/>
        </w:numPr>
        <w:rPr/>
      </w:pPr>
      <w:r>
        <w:rPr/>
        <w:t>Демонстрация сценариев приёмки — подпись кадровой службы.</w:t>
      </w:r>
    </w:p>
    <w:p>
      <w:pPr>
        <w:pStyle w:val="Compact"/>
        <w:numPr>
          <w:ilvl w:val="0"/>
          <w:numId w:val="20"/>
        </w:numPr>
        <w:rPr/>
      </w:pPr>
      <w:r>
        <w:rPr/>
        <w:t>Нагрузочный отчёт (v0.5.0, подтверждение для v0.6.0) с показателями раздела «Нефункциональные требования».</w:t>
      </w:r>
    </w:p>
    <w:p>
      <w:pPr>
        <w:pStyle w:val="Compact"/>
        <w:numPr>
          <w:ilvl w:val="0"/>
          <w:numId w:val="21"/>
        </w:numPr>
        <w:rPr/>
      </w:pPr>
      <w:r>
        <w:rPr/>
        <w:t>Чек-лист безопасности документа 1 — подпись ИБ.</w:t>
      </w:r>
    </w:p>
    <w:p>
      <w:pPr>
        <w:pStyle w:val="Compact"/>
        <w:numPr>
          <w:ilvl w:val="0"/>
          <w:numId w:val="22"/>
        </w:numPr>
        <w:rPr/>
      </w:pPr>
      <w:bookmarkStart w:id="20" w:name="приёмка"/>
      <w:r>
        <w:rPr/>
        <w:t>Отчёт лицензий без copyleft и неопределённых лицензий.</w:t>
      </w:r>
      <w:bookmarkEnd w:id="20"/>
    </w:p>
    <w:p>
      <w:pPr>
        <w:pStyle w:val="Heading1"/>
        <w:rPr/>
      </w:pPr>
      <w:bookmarkStart w:id="21" w:name="__RefHeading___Toc27682_1804324697"/>
      <w:bookmarkEnd w:id="21"/>
      <w:r>
        <w:rPr>
          <w:rStyle w:val="SectionNumber"/>
        </w:rPr>
        <w:t>12</w:t>
      </w:r>
      <w:r>
        <w:rPr/>
        <w:tab/>
        <w:t>Риски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Риск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Вероятность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Влияние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Митигирование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Грязные данные кадровой системы при импорте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задержка ввода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предпросмотр с ошибками по строкам, прогон на копии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выше расчётной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рост p95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метрики, второй экземпляр, реплика для чтения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законодательства об отпусках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правка расчёта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 в одном чистом модуле под тестами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Сопротивление смене паролей при вводе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средняя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обращения в поддержку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(v0.4.0), инструкция в руководстве пользователя</w:t>
            </w:r>
            <w:bookmarkStart w:id="22" w:name="риски"/>
            <w:bookmarkEnd w:id="22"/>
          </w:p>
        </w:tc>
      </w:tr>
    </w:tbl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Техническое задание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Техническое задание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2026-10-30T06:03:11Z</dcterms:created>
  <dc:creator/>
  <dc:description/>
  <dc:language>en-US</dc:language>
  <cp:lastModifiedBy/>
  <dcterms:modified xsi:type="dcterms:W3CDTF">2026-10-30T06:05:58Z</dcterms:modified>
  <cp:revision>1</cp:revision>
  <dc:subject/>
  <dc:title>Техническое задание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Требования к корпоративному планировщику отпусков</vt:lpwstr>
  </property>
  <property fmtid="{D5CDD505-2E9C-101B-9397-08002B2CF9AE}" pid="4" name="toc-title">
    <vt:lpwstr>Содержание</vt:lpwstr>
  </property>
</Properties>
</file>