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Сведения о программе для заявления</w:t>
      </w:r>
    </w:p>
    <w:p>
      <w:pPr>
        <w:pStyle w:val="Subtitle"/>
        <w:rPr/>
      </w:pPr>
      <w:r>
        <w:rPr/>
        <w:t>Планировщик отпусков 1.0.0 · Единый реестр российских программ</w:t>
      </w:r>
    </w:p>
    <w:p>
      <w:pPr>
        <w:pStyle w:val="Date"/>
        <w:rPr/>
      </w:pPr>
      <w:r>
        <w:rPr/>
        <w:t>30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37582_1804324697">
            <w:r>
              <w:rPr>
                <w:webHidden/>
                <w:rStyle w:val="IndexLink"/>
              </w:rPr>
              <w:t>1 О документе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584_1804324697">
            <w:r>
              <w:rPr>
                <w:webHidden/>
                <w:rStyle w:val="IndexLink"/>
              </w:rPr>
              <w:t>2 Сведения о программе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586_1804324697">
            <w:r>
              <w:rPr>
                <w:webHidden/>
                <w:rStyle w:val="IndexLink"/>
              </w:rPr>
              <w:t>3 Классы по классификатору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588_1804324697">
            <w:r>
              <w:rPr>
                <w:webHidden/>
                <w:rStyle w:val="IndexLink"/>
              </w:rPr>
              <w:t>4 Сведения о правообладателе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590_1804324697">
            <w:r>
              <w:rPr>
                <w:webHidden/>
                <w:rStyle w:val="IndexLink"/>
              </w:rPr>
              <w:t>5 Декларации о соответствии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592_1804324697">
            <w:r>
              <w:rPr>
                <w:webHidden/>
                <w:rStyle w:val="IndexLink"/>
              </w:rPr>
              <w:t>5.1 Исключительное право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594_1804324697">
            <w:r>
              <w:rPr>
                <w:webHidden/>
                <w:rStyle w:val="IndexLink"/>
              </w:rPr>
              <w:t>5.2 Выплаты иностранным лицам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596_1804324697">
            <w:r>
              <w:rPr>
                <w:webHidden/>
                <w:rStyle w:val="IndexLink"/>
              </w:rPr>
              <w:t>5.3 Отсутствие принудительного обновления и управления из-за рубежа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598_1804324697">
            <w:r>
              <w:rPr>
                <w:webHidden/>
                <w:rStyle w:val="IndexLink"/>
              </w:rPr>
              <w:t>5.4 Свободное программное обеспечение в составе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600_1804324697">
            <w:r>
              <w:rPr>
                <w:webHidden/>
                <w:rStyle w:val="IndexLink"/>
              </w:rPr>
              <w:t>5.5 Свободное распространение на территории РФ</w:t>
              <w:tab/>
              <w:t>11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602_1804324697">
            <w:r>
              <w:rPr>
                <w:webHidden/>
                <w:rStyle w:val="IndexLink"/>
              </w:rPr>
              <w:t>6 Совместимость с российскими операционными системами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604_1804324697">
            <w:r>
              <w:rPr>
                <w:webHidden/>
                <w:rStyle w:val="IndexLink"/>
              </w:rPr>
              <w:t>6.1 Требование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606_1804324697">
            <w:r>
              <w:rPr>
                <w:webHidden/>
                <w:rStyle w:val="IndexLink"/>
              </w:rPr>
              <w:t>6.2 Техническая основа совместимости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608_1804324697">
            <w:r>
              <w:rPr>
                <w:webHidden/>
                <w:rStyle w:val="IndexLink"/>
              </w:rPr>
              <w:t>6.3 Порядок подтверждения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610_1804324697">
            <w:r>
              <w:rPr>
                <w:webHidden/>
                <w:rStyle w:val="IndexLink"/>
              </w:rPr>
              <w:t>6.4 Форма протокола испытаний совместимости</w:t>
              <w:tab/>
              <w:t>13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37582_1804324697"/>
      <w:bookmarkStart w:id="1" w:name="о-документе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>Документ собирает в одном месте сведения, которые вносятся в заявление о включении программы «Планировщик отпусков» в единый реестр российских программ для ЭВМ и баз данных (Правила формирования и ведения реестра утверждены постановлением Правительства РФ от 16.11.2015 № 1236). Здесь же — проекты деклараций о соответствии требованиям и порядок подтверждения совместимости с российскими операционными системами.</w:t>
      </w:r>
    </w:p>
    <w:p>
      <w:pPr>
        <w:pStyle w:val="BodyText"/>
        <w:rPr/>
      </w:pPr>
      <w:r>
        <w:rPr/>
        <w:t xml:space="preserve">Перед подачей проверьте формулировки по действующей редакции Правил и по форме заявления в личном кабинете правообладателя: требования к реестру регулярно уточняются. Поля, которые заполняет только правообладатель, отмечены </w:t>
      </w:r>
      <w:r>
        <w:rPr>
          <w:rStyle w:val="VerbatimChar"/>
        </w:rPr>
        <w:t>[заполняет правообладатель]</w:t>
      </w:r>
      <w:r>
        <w:rPr/>
        <w:t xml:space="preserve">. Технические сведения взяты из исходных текстов версии 1.0.0 (ветка </w:t>
      </w:r>
      <w:r>
        <w:rPr>
          <w:rStyle w:val="VerbatimChar"/>
        </w:rPr>
        <w:t>v1.0.0</w:t>
      </w:r>
      <w:r>
        <w:rPr/>
        <w:t>), технического задания (</w:t>
      </w:r>
      <w:r>
        <w:rPr>
          <w:rStyle w:val="VerbatimChar"/>
        </w:rPr>
        <w:t>docs/specs/08-tz.md</w:t>
      </w:r>
      <w:r>
        <w:rPr/>
        <w:t>), описания архитектуры (</w:t>
      </w:r>
      <w:r>
        <w:rPr>
          <w:rStyle w:val="VerbatimChar"/>
        </w:rPr>
        <w:t>docs/specs/01-architecture.md</w:t>
      </w:r>
      <w:r>
        <w:rPr/>
        <w:t>) и руководства по развёртыванию.</w:t>
      </w:r>
      <w:bookmarkEnd w:id="1"/>
    </w:p>
    <w:p>
      <w:pPr>
        <w:pStyle w:val="Heading1"/>
        <w:rPr/>
      </w:pPr>
      <w:bookmarkStart w:id="2" w:name="__RefHeading___Toc37584_1804324697"/>
      <w:bookmarkEnd w:id="2"/>
      <w:r>
        <w:rPr>
          <w:rStyle w:val="SectionNumber"/>
        </w:rPr>
        <w:t>2</w:t>
      </w:r>
      <w:r>
        <w:rPr/>
        <w:tab/>
        <w:t>Сведения о программе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 заявления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Наименование программы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«Планировщик отпусков»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Альтернативное наименование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«Vacation Planner»; «Планировщик отпусков — корпоративная система планирования и согласования ежегодных отпусков»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Вид объекта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Программа для ЭВМ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Версия, представляемая на экспертизу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1.0.0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Краткое описание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Корпоративная система планирования и согласования ежегодных отпусков: заявки сотрудников с согласованием руководителем по оргструктуре, замещением и эскалацией; график отпусков организации с пересечениями в отделах; балансы дней по нормам Трудового кодекса РФ с производственным календарём; кампания планирования на год с утверждением графика и выгрузкой по форме Т-7; извещения о начале отпуска за две недели с ознакомлением сотрудника; аналитика пересечений и подбор дат; график работы офис/удалёнка; ведение сотрудников и оргструктуры с импортом из файлов кадровой системы; журнал аудита и журнал входов. Устанавливается на серверы заказчика, работает в закрытом контуре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Класс (классы) программы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См. раздел «Классы по классификатору»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Код ОКПД 2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[уточняет правообладатель по классификатору; ориентир — 58.29.29 «Обеспечение программное прикладное прочее на электронном носителе» или 58.29.50 «Услуги по предоставлению лицензий на право использовать программное обеспечение» — в зависимости от способа поставки]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Адрес страницы с описанием программы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правообладатель]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страница должна содержать описание функциональных характеристик, документацию по установке и эксплуатации, сведения о стоимости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Способ установки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Установка на серверы заказчика в контейнерах Docker (Docker Compose); клиент — веб-браузер, интерфейс адаптирован для телефонов (ширина экрана от 360 px)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Язык интерфейса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Русский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Языки программирования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TypeScript (серверная часть и веб-интерфейс), SQL (миграции базы данных)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Среда функционирования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Сервер: 64-битный Linux (x86-64), Docker Engine 24+ и Docker Compose v2; для 1000–2000 сотрудников — 2 vCPU, 4 ГБ ОЗУ, 40 ГБ SSD (проверенный минимум — 1 vCPU, 2 ГБ; «Руководство по развёртыванию», «Требования»). Контейнеры: Node.js 22, nginx 1.27, PostgreSQL 17 (в составе поставки). Клиент: две последние версии Chrome, Edge, Firefox или Safari, мобильные браузеры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Используемые СУБД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PostgreSQL 17 (свободное ПО, поставляется в контейнере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postgres:17-alpine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Необязательные интеграции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Почтовый релей организации (SMTP), провайдер единого входа OpenID Connect (Keycloak, ADFS, Blitz Identity и др.), импорт файлов кадровой системы (XLSX, CSV, JSON), мониторинг Prometheus и Grafana организации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Сведения о стоимости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Документ «Сведения о стоимости и условиях лицензирования»</w:t>
            </w:r>
            <w:bookmarkStart w:id="3" w:name="сведения-о-программе"/>
            <w:bookmarkEnd w:id="3"/>
          </w:p>
        </w:tc>
      </w:tr>
    </w:tbl>
    <w:p>
      <w:pPr>
        <w:pStyle w:val="Heading1"/>
        <w:rPr/>
      </w:pPr>
      <w:bookmarkStart w:id="4" w:name="__RefHeading___Toc37586_1804324697"/>
      <w:bookmarkEnd w:id="4"/>
      <w:r>
        <w:rPr>
          <w:rStyle w:val="SectionNumber"/>
        </w:rPr>
        <w:t>3</w:t>
      </w:r>
      <w:r>
        <w:rPr/>
        <w:tab/>
        <w:t>Классы по классификатору</w:t>
      </w:r>
    </w:p>
    <w:p>
      <w:pPr>
        <w:pStyle w:val="FirstParagraph"/>
        <w:rPr/>
      </w:pPr>
      <w:r>
        <w:rPr/>
        <w:t>Класс программы выбирается по классификатору программ для ЭВМ и баз данных, утверждённому приказом Минцифры России от 22.09.2020 № 486 (в действующей редакции). Ошибка в выборе класса — одна из частых причин отказа, поэтому класс должен совпадать с описанием функциональных характеристик. Группы функций ниже названы по документу «Описание функциональных характеристик»; идентификаторы функций (Ф-…) проставляются по нему.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Приоритет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Класс (наименование по классификатору)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Обоснование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Подтверждающие группы функций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Основной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Системы управления персоналом (HRM, Human Resources Management) — если класс с таким наименованием присутствует в действующей редакции классификатора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Программа автоматизирует кадровый процесс ежегодных отпусков по Трудовому кодексу РФ: учёт права на отпуск и остатков дней (ст. 120, 125), планирование и утверждение графика отпусков с выгрузкой по унифицированной форме Т-7 (ст. 123), извещение работника о начале отпуска и учёт ознакомления (ст. 123–124), ведение сотрудников и оргструктуры, импорт из кадровой системы; основной пользователь со стороны организации — кадровая служба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«Кампания планирования и утверждение графика» (форма Т-7) ; «Извещения о начале отпуска» (ст. 123 ТК РФ) ; «Мой отпуск: баланс и заявки» ; «Сотрудники и учётные записи», «Импорт сотрудников», «Справочники и производственный календарь» ; «График отпусков организации» 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Дополнительный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Системы управления процессами организации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Маршрутизация и контроль процесса «заявка — согласование» по оргструктуре: конечный автомат заявки, очередь «ждут моего решения», замещение руководителя на период, эскалация заявки без решения вышестоящему, уведомления и письма участникам, правила организации (порог конфликта, политика лимита, сроки эскалации и извещения), неизменяемый журнал аудита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«Согласование заявок» ; «Замещение и эскалация согласования» ; «Уведомления и письма» ; «Правила организации» ; «Журналы аудита и входов» 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Дополнительный (рассмотреть)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Системы сбора, хранения, обработки, анализа, моделирования и визуализации массивов данных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Аналитика отдела: доля сотрудников в отпуске по месяцам, периоды конфликтов, выводы руководителю, подбор дат с учётом нагрузки; график работы офис/удалёнка и состав отдела на дату. Функции вспомогательные — заявлять, только если эксперт не сочтёт их недостаточными для класса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«Команда и аналитика отдела» ; «Подбор дат отпуска» ; «График работы: офис и удалённая работа» 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 заявлять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Системы электронного документооборота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Программа не ведёт документы с электронной подписью и не маршрутизирует их; форма Т-7 и лист ознакомления с извещениями — выгрузка и печатная форма, а не электронный документ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</w:tbl>
    <w:p>
      <w:pPr>
        <w:pStyle w:val="BlockText"/>
        <w:shd w:val="clear" w:fill="F2F5FF"/>
        <w:rPr/>
      </w:pPr>
      <w:r>
        <w:rPr>
          <w:b/>
          <w:bCs/>
        </w:rPr>
        <w:t>Действие перед подачей.</w:t>
      </w:r>
      <w:r>
        <w:rPr/>
        <w:t xml:space="preserve"> Сверить точные наименования и коды классов с действующим текстом приказа № 486 и с перечнем классов в форме заявления: если класса «Системы управления персоналом» в действующей редакции нет, основным заявляется «Системы управления процессами организации». Не заявлять класс, функции которого программа не выполняет. Идентификаторы функций в маркерах </w:t>
      </w:r>
      <w:r>
        <w:rPr>
          <w:rStyle w:val="VerbatimChar"/>
        </w:rPr>
        <w:t>&lt;!-- Ф-ID: … --&gt;</w:t>
      </w:r>
      <w:r>
        <w:rPr/>
        <w:t xml:space="preserve"> сверены с «Описанием функциональных характеристик» на дату подготовки; после его окончательной редакции перенести их в текст таблицы.</w:t>
      </w:r>
    </w:p>
    <w:p>
      <w:pPr>
        <w:pStyle w:val="Heading1"/>
        <w:rPr/>
      </w:pPr>
      <w:bookmarkStart w:id="5" w:name="__RefHeading___Toc37588_1804324697"/>
      <w:bookmarkEnd w:id="5"/>
      <w:r>
        <w:rPr>
          <w:rStyle w:val="SectionNumber"/>
        </w:rPr>
        <w:t>4</w:t>
      </w:r>
      <w:r>
        <w:rPr/>
        <w:tab/>
        <w:t>Сведения о правообладателе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Категория правообладателя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правообладатель: гражданин Российской Федерации / российская коммерческая организация / российская НКО; в ТЗ (docs/specs/08-tz.md) правообладателем указан Александр Юрасов — подтвердить статус]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Полное наименование (ФИО)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ОГРН / ИНН / КПП (для гражданина — ИНН, СНИЛС, сведения о гражданстве)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Адрес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правообладатель; для гражданина — не заполняется]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Контактное лицо по заявлению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правообладатель: ФИО, телефон, e-mail]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Основание возникновения исключительного права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правообладатель: создание программы лично / работниками в рамках служебного задания (ст. 1295 ГК РФ) / договор отчуждения исключительного права / договор заказа — реквизиты]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Государственная регистрация программы в Роспатенте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[при наличии: номер и дата свидетельства]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Доля участия российских лиц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правообладатель; для юрлица — подтверждение, что совокупная доля прямого и косвенного участия иностранных лиц менее 50 %; для гражданина РФ — не применяется]</w:t>
            </w:r>
            <w:bookmarkStart w:id="6" w:name="сведения-о-правообладателе"/>
            <w:bookmarkEnd w:id="6"/>
          </w:p>
        </w:tc>
      </w:tr>
    </w:tbl>
    <w:p>
      <w:pPr>
        <w:pStyle w:val="Heading1"/>
        <w:rPr/>
      </w:pPr>
      <w:bookmarkStart w:id="7" w:name="__RefHeading___Toc37590_1804324697"/>
      <w:bookmarkEnd w:id="7"/>
      <w:r>
        <w:rPr>
          <w:rStyle w:val="SectionNumber"/>
        </w:rPr>
        <w:t>5</w:t>
      </w:r>
      <w:r>
        <w:rPr/>
        <w:tab/>
        <w:t>Декларации о соответствии</w:t>
      </w:r>
    </w:p>
    <w:p>
      <w:pPr>
        <w:pStyle w:val="FirstParagraph"/>
        <w:rPr/>
      </w:pPr>
      <w:r>
        <w:rPr/>
        <w:t>Ниже — проекты формулировок, которые правообладатель подтверждает при подаче (подписываются правообладателем или уполномоченным лицом). Технические утверждения основаны на исходных текстах версии 1.0.0 и могут быть проверены экспертом (см. «Инструкцию для эксперта»).</w:t>
      </w:r>
    </w:p>
    <w:p>
      <w:pPr>
        <w:pStyle w:val="Heading2"/>
        <w:rPr/>
      </w:pPr>
      <w:bookmarkStart w:id="8" w:name="__RefHeading___Toc37592_1804324697"/>
      <w:bookmarkStart w:id="9" w:name="исключительное-право"/>
      <w:bookmarkEnd w:id="8"/>
      <w:r>
        <w:rPr>
          <w:rStyle w:val="SectionNumber"/>
        </w:rPr>
        <w:t>5.1</w:t>
      </w:r>
      <w:r>
        <w:rPr/>
        <w:tab/>
        <w:t>Исключительное право</w:t>
      </w:r>
    </w:p>
    <w:p>
      <w:pPr>
        <w:pStyle w:val="FirstParagraph"/>
        <w:rPr/>
      </w:pPr>
      <w:r>
        <w:rPr/>
        <w:t xml:space="preserve">Исключительное право на программу «Планировщик отпусков» на территории всего мира и на весь срок его действия принадлежит </w:t>
      </w:r>
      <w:r>
        <w:rPr>
          <w:rStyle w:val="VerbatimChar"/>
        </w:rPr>
        <w:t>[наименование или ФИО правообладателя]</w:t>
      </w:r>
      <w:r>
        <w:rPr/>
        <w:t xml:space="preserve">. Программа создана </w:t>
      </w:r>
      <w:r>
        <w:rPr>
          <w:rStyle w:val="VerbatimChar"/>
        </w:rPr>
        <w:t>[правообладателем лично / работниками правообладателя / по договорам с указанными лицами]</w:t>
      </w:r>
      <w:r>
        <w:rPr/>
        <w:t xml:space="preserve">; права на все части программы, включая вклад внешних участников, дизайн-систему и иконки, общие с другими продуктами правообладателя, и результаты, полученные с использованием средств автоматизации разработки (ИИ-ассистентов), принадлежат правообладателю </w:t>
      </w:r>
      <w:r>
        <w:rPr>
          <w:rStyle w:val="VerbatimChar"/>
        </w:rPr>
        <w:t>[реквизиты документов]</w:t>
      </w:r>
      <w:r>
        <w:rPr/>
        <w:t>.</w:t>
      </w:r>
      <w:bookmarkEnd w:id="9"/>
    </w:p>
    <w:p>
      <w:pPr>
        <w:pStyle w:val="Heading2"/>
        <w:rPr/>
      </w:pPr>
      <w:bookmarkStart w:id="10" w:name="__RefHeading___Toc37594_1804324697"/>
      <w:bookmarkStart w:id="11" w:name="выплаты-иностранным-лицам"/>
      <w:bookmarkEnd w:id="10"/>
      <w:r>
        <w:rPr>
          <w:rStyle w:val="SectionNumber"/>
        </w:rPr>
        <w:t>5.2</w:t>
      </w:r>
      <w:r>
        <w:rPr/>
        <w:tab/>
        <w:t>Выплаты иностранным лицам</w:t>
      </w:r>
    </w:p>
    <w:p>
      <w:pPr>
        <w:pStyle w:val="FirstParagraph"/>
        <w:rPr/>
      </w:pPr>
      <w:r>
        <w:rPr/>
        <w:t xml:space="preserve">Общая сумма выплат по лицензионным и иным договорам, предусматривающим предоставление прав на результаты интеллектуальной деятельности и средства индивидуализации, выполнение работ и оказание услуг в связи с разработкой, адаптацией и модификацией программы и для её технической поддержки, в пользу иностранных юридических лиц и (или) физических лиц, контролируемых ими российских коммерческих организаций, составляет менее 30 % выручки правообладателя от реализации программы за календарный год. </w:t>
      </w:r>
      <w:r>
        <w:rPr>
          <w:rStyle w:val="VerbatimChar"/>
        </w:rPr>
        <w:t>[заполняет правообладатель: подтвердить по данным учёта; учесть оплату иностранных сервисов, использованных при разработке, — ИИ-ассистентов и платформы размещения репозитория, если они платные]</w:t>
      </w:r>
    </w:p>
    <w:p>
      <w:pPr>
        <w:pStyle w:val="BodyText"/>
        <w:rPr/>
      </w:pPr>
      <w:bookmarkStart w:id="12" w:name="выплаты-иностранным-лицам"/>
      <w:r>
        <w:rPr/>
        <w:t>Программа построена только на свободно распространяемых компонентах; лицензионные платежи иностранным правообладателям за сторонние компоненты не осуществляются (см. «Сторонние компоненты и лицензии» и отчёт «SBOM и анализ лицензий»).</w:t>
      </w:r>
      <w:bookmarkEnd w:id="12"/>
    </w:p>
    <w:p>
      <w:pPr>
        <w:pStyle w:val="Heading2"/>
        <w:rPr/>
      </w:pPr>
      <w:bookmarkStart w:id="13" w:name="__RefHeading___Toc37596_1804324697"/>
      <w:bookmarkStart w:id="14" w:name="X941889db5f413191811363b665360fb30613a17"/>
      <w:bookmarkEnd w:id="13"/>
      <w:r>
        <w:rPr>
          <w:rStyle w:val="SectionNumber"/>
        </w:rPr>
        <w:t>5.3</w:t>
      </w:r>
      <w:r>
        <w:rPr/>
        <w:tab/>
        <w:t>Отсутствие принудительного обновления и управления из-за рубежа</w:t>
      </w:r>
    </w:p>
    <w:p>
      <w:pPr>
        <w:pStyle w:val="FirstParagraph"/>
        <w:rPr/>
      </w:pPr>
      <w:r>
        <w:rPr/>
        <w:t>Сведения о программе не составляют государственную тайну. Программа: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не содержит механизмов принудительного или автоматического обновления: новая версия устанавливается только действиями администратора заказчика (получение версии и пересборка стенда </w:t>
      </w:r>
      <w:r>
        <w:rPr>
          <w:rStyle w:val="VerbatimChar"/>
        </w:rPr>
        <w:t>docker compose --profile full up -d --build</w:t>
      </w:r>
      <w:r>
        <w:rPr/>
        <w:t>); миграции базы данных применяются при старте уже установленной версии;</w:t>
      </w:r>
    </w:p>
    <w:p>
      <w:pPr>
        <w:pStyle w:val="Compact"/>
        <w:numPr>
          <w:ilvl w:val="0"/>
          <w:numId w:val="1"/>
        </w:numPr>
        <w:rPr/>
      </w:pPr>
      <w:r>
        <w:rPr/>
        <w:t>не содержит механизмов управления из-за рубежа и не принимает команд из внешних источников: сервер обрабатывает только запросы пользователей, прошедших аутентификацию, к собственному API (</w:t>
      </w:r>
      <w:r>
        <w:rPr>
          <w:rStyle w:val="VerbatimChar"/>
        </w:rPr>
        <w:t>/api/v1</w:t>
      </w:r>
      <w:r>
        <w:rPr/>
        <w:t xml:space="preserve">) и служебные пробы </w:t>
      </w:r>
      <w:r>
        <w:rPr>
          <w:rStyle w:val="VerbatimChar"/>
        </w:rPr>
        <w:t>/healthz</w:t>
      </w:r>
      <w:r>
        <w:rPr/>
        <w:t xml:space="preserve">, </w:t>
      </w:r>
      <w:r>
        <w:rPr>
          <w:rStyle w:val="VerbatimChar"/>
        </w:rPr>
        <w:t>/readyz</w:t>
      </w:r>
      <w:r>
        <w:rPr/>
        <w:t xml:space="preserve">, </w:t>
      </w:r>
      <w:r>
        <w:rPr>
          <w:rStyle w:val="VerbatimChar"/>
        </w:rPr>
        <w:t>/metrics</w:t>
      </w:r>
      <w:r>
        <w:rPr/>
        <w:t xml:space="preserve"> внутри сети стенда;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не передаёт данные правообладателю или третьим лицам: в коде программы нет телеметрии, проверки лицензий через интернет и обращений к облачным сервисам; веб-интерфейс загружает ресурсы только со своего адреса (политика CSP </w:t>
      </w:r>
      <w:r>
        <w:rPr>
          <w:rStyle w:val="VerbatimChar"/>
        </w:rPr>
        <w:t>default-src 'self'</w:t>
      </w:r>
      <w:r>
        <w:rPr/>
        <w:t>), без внешних CDN, шрифтов и счётчиков;</w:t>
      </w:r>
    </w:p>
    <w:p>
      <w:pPr>
        <w:pStyle w:val="Compact"/>
        <w:numPr>
          <w:ilvl w:val="0"/>
          <w:numId w:val="1"/>
        </w:numPr>
        <w:rPr/>
      </w:pPr>
      <w:r>
        <w:rPr/>
        <w:t>устанавливает исходящие соединения только с серверами организации, адреса которых задаёт администратор: почтовый релей (</w:t>
      </w:r>
      <w:r>
        <w:rPr>
          <w:rStyle w:val="VerbatimChar"/>
        </w:rPr>
        <w:t>SMTP_HOST</w:t>
      </w:r>
      <w:r>
        <w:rPr/>
        <w:t>) и провайдер единого входа OpenID Connect (</w:t>
      </w:r>
      <w:r>
        <w:rPr>
          <w:rStyle w:val="VerbatimChar"/>
        </w:rPr>
        <w:t>OIDC_ISSUER</w:t>
      </w:r>
      <w:r>
        <w:rPr/>
        <w:t>: документ discovery, ключи JWKS, обмен кода на токен). Без настройки эти соединения не устанавливаются;</w:t>
      </w:r>
    </w:p>
    <w:p>
      <w:pPr>
        <w:pStyle w:val="Compact"/>
        <w:numPr>
          <w:ilvl w:val="0"/>
          <w:numId w:val="1"/>
        </w:numPr>
        <w:rPr/>
      </w:pPr>
      <w:r>
        <w:rPr/>
        <w:t>работает в изолированной сети без доступа к интернету: интернет нужен только при сборке образов из исходных текстов (загрузка базовых образов и пакетов npm); для закрытых контуров поставляются готовые образы.</w:t>
      </w:r>
    </w:p>
    <w:p>
      <w:pPr>
        <w:pStyle w:val="BlockText"/>
        <w:shd w:val="clear" w:fill="F2F5FF"/>
        <w:rPr/>
      </w:pPr>
      <w:r>
        <w:rPr>
          <w:b/>
          <w:bCs/>
        </w:rPr>
        <w:t>Условие подписания декларации.</w:t>
      </w:r>
      <w:r>
        <w:rPr/>
        <w:t xml:space="preserve"> Сторонние инструменты в составе поставки могут обращаться в интернет, если он доступен. Проверка версии командной строки Prisma (</w:t>
      </w:r>
      <w:r>
        <w:rPr>
          <w:rStyle w:val="VerbatimChar"/>
        </w:rPr>
        <w:t>checkpoint.prisma.io</w:t>
      </w:r>
      <w:r>
        <w:rPr/>
        <w:t xml:space="preserve">) в образе </w:t>
      </w:r>
      <w:r>
        <w:rPr>
          <w:rStyle w:val="VerbatimChar"/>
        </w:rPr>
        <w:t>server</w:t>
      </w:r>
      <w:r>
        <w:rPr/>
        <w:t xml:space="preserve"> отключена (</w:t>
      </w:r>
      <w:r>
        <w:rPr>
          <w:rStyle w:val="VerbatimChar"/>
        </w:rPr>
        <w:t>CHECKPOINT_DISABLE=1</w:t>
      </w:r>
      <w:r>
        <w:rPr/>
        <w:t xml:space="preserve">), но npm при запуске </w:t>
      </w:r>
      <w:r>
        <w:rPr>
          <w:rStyle w:val="VerbatimChar"/>
        </w:rPr>
        <w:t>npx prisma migrate deploy</w:t>
      </w:r>
      <w:r>
        <w:rPr/>
        <w:t xml:space="preserve"> на старте контейнера проверяет новую версию npm в </w:t>
      </w:r>
      <w:r>
        <w:rPr>
          <w:rStyle w:val="VerbatimChar"/>
        </w:rPr>
        <w:t>registry.npmjs.org</w:t>
      </w:r>
      <w:r>
        <w:rPr/>
        <w:t xml:space="preserve">, а пакет </w:t>
      </w:r>
      <w:r>
        <w:rPr>
          <w:rStyle w:val="VerbatimChar"/>
        </w:rPr>
        <w:t>@scarf/scarf</w:t>
      </w:r>
      <w:r>
        <w:rPr/>
        <w:t xml:space="preserve"> (зависимость </w:t>
      </w:r>
      <w:r>
        <w:rPr>
          <w:rStyle w:val="VerbatimChar"/>
        </w:rPr>
        <w:t>swagger-ui-dist</w:t>
      </w:r>
      <w:r>
        <w:rPr/>
        <w:t xml:space="preserve">) при </w:t>
      </w:r>
      <w:r>
        <w:rPr>
          <w:rStyle w:val="VerbatimChar"/>
        </w:rPr>
        <w:t>npm ci</w:t>
      </w:r>
      <w:r>
        <w:rPr/>
        <w:t xml:space="preserve"> во время сборки отправляет событие установки на </w:t>
      </w:r>
      <w:r>
        <w:rPr>
          <w:rStyle w:val="VerbatimChar"/>
        </w:rPr>
        <w:t>scarf.sh</w:t>
      </w:r>
      <w:r>
        <w:rPr/>
        <w:t>. В закрытом контуре эти запросы безуспешны и на работу не влияют. До подписания декларации их нужно отключить (</w:t>
      </w:r>
      <w:r>
        <w:rPr>
          <w:rStyle w:val="VerbatimChar"/>
        </w:rPr>
        <w:t>NPM_CONFIG_UPDATE_NOTIFIER=false</w:t>
      </w:r>
      <w:r>
        <w:rPr/>
        <w:t xml:space="preserve">; </w:t>
      </w:r>
      <w:r>
        <w:rPr>
          <w:rStyle w:val="VerbatimChar"/>
        </w:rPr>
        <w:t>SCARF_ANALYTICS=false</w:t>
      </w:r>
      <w:r>
        <w:rPr/>
        <w:t xml:space="preserve"> или </w:t>
      </w:r>
      <w:r>
        <w:rPr>
          <w:rStyle w:val="VerbatimChar"/>
        </w:rPr>
        <w:t>scarfSettings.enabled: false</w:t>
      </w:r>
      <w:r>
        <w:rPr/>
        <w:t>) и подтвердить отсутствие исходящих соединений проверкой из «Инструкции для эксперта» — см. «Комплект документов», раздел «Наблюдения».</w:t>
      </w:r>
      <w:bookmarkEnd w:id="14"/>
    </w:p>
    <w:p>
      <w:pPr>
        <w:pStyle w:val="Heading2"/>
        <w:rPr/>
      </w:pPr>
      <w:bookmarkStart w:id="15" w:name="__RefHeading___Toc37598_1804324697"/>
      <w:bookmarkStart w:id="16" w:name="X9b24ca64f8747f45c85fb24ed865a3dab531f00"/>
      <w:bookmarkEnd w:id="15"/>
      <w:r>
        <w:rPr>
          <w:rStyle w:val="SectionNumber"/>
        </w:rPr>
        <w:t>5.4</w:t>
      </w:r>
      <w:r>
        <w:rPr/>
        <w:tab/>
        <w:t>Свободное программное обеспечение в составе</w:t>
      </w:r>
    </w:p>
    <w:p>
      <w:pPr>
        <w:pStyle w:val="FirstParagraph"/>
        <w:rPr/>
      </w:pPr>
      <w:r>
        <w:rPr/>
        <w:t>Программа использует компоненты свободного программного обеспечения на условиях их лицензий. Перечень компонентов с версиями и лицензиями — в SBOM (</w:t>
      </w:r>
      <w:r>
        <w:rPr>
          <w:rStyle w:val="VerbatimChar"/>
        </w:rPr>
        <w:t>sbom/server.cdx.json</w:t>
      </w:r>
      <w:r>
        <w:rPr/>
        <w:t xml:space="preserve">, </w:t>
      </w:r>
      <w:r>
        <w:rPr>
          <w:rStyle w:val="VerbatimChar"/>
        </w:rPr>
        <w:t>sbom/web.cdx.json</w:t>
      </w:r>
      <w:r>
        <w:rPr/>
        <w:t xml:space="preserve">, формат CycloneDX 1.5; формируются в CI на каждый коммит), в перечне </w:t>
      </w:r>
      <w:r>
        <w:rPr>
          <w:rStyle w:val="VerbatimChar"/>
        </w:rPr>
        <w:t>docs/sbom/sbom-components.csv</w:t>
      </w:r>
      <w:r>
        <w:rPr/>
        <w:t>, в отчёте «SBOM и анализ лицензий» (</w:t>
      </w:r>
      <w:r>
        <w:rPr>
          <w:rStyle w:val="VerbatimChar"/>
        </w:rPr>
        <w:t>docs/sbom/licenses-report.md</w:t>
      </w:r>
      <w:r>
        <w:rPr/>
        <w:t xml:space="preserve">); тексты уведомлений — в документе «Сторонние компоненты и лицензии». Сторонние библиотеки, входящие в поставку, распространяются по разрешительным лицензиям (MIT, ISC, Apache-2.0, BSD и др.); компонентов с сильным копилефтом (GPL, AGPL) и слабым копилефтом (LGPL, MPL) среди них нет, библиотека с двойной лицензией </w:t>
      </w:r>
      <w:r>
        <w:rPr>
          <w:rStyle w:val="VerbatimChar"/>
        </w:rPr>
        <w:t>MIT OR GPL-3.0-or-later</w:t>
      </w:r>
      <w:r>
        <w:rPr/>
        <w:t xml:space="preserve"> (jszip) используется на условиях MIT. Лицензии GPL встречаются только у программ базовых образов контейнеров (Alpine Linux: BusyBox и др.), которые поставляются вместе с программой как отдельные программы (агрегирование) и не связываются с её кодом. Политика лицензий проверяется в CI: компонент с копилефтной или неопределённой лицензией блокирует слияние (</w:t>
      </w:r>
      <w:r>
        <w:rPr>
          <w:rStyle w:val="VerbatimChar"/>
        </w:rPr>
        <w:t>docs/specs/11-sbom-licenses.md</w:t>
      </w:r>
      <w:r>
        <w:rPr/>
        <w:t>).</w:t>
      </w:r>
      <w:bookmarkEnd w:id="16"/>
    </w:p>
    <w:p>
      <w:pPr>
        <w:pStyle w:val="Heading2"/>
        <w:rPr/>
      </w:pPr>
      <w:bookmarkStart w:id="17" w:name="__RefHeading___Toc37600_1804324697"/>
      <w:bookmarkStart w:id="18" w:name="X8efdd492f8b218b72ce0d5d1fb0a366df80c359"/>
      <w:bookmarkEnd w:id="17"/>
      <w:r>
        <w:rPr>
          <w:rStyle w:val="SectionNumber"/>
        </w:rPr>
        <w:t>5.5</w:t>
      </w:r>
      <w:r>
        <w:rPr/>
        <w:tab/>
        <w:t>Свободное распространение на территории РФ</w:t>
      </w:r>
    </w:p>
    <w:p>
      <w:pPr>
        <w:pStyle w:val="FirstParagraph"/>
        <w:rPr/>
      </w:pPr>
      <w:bookmarkStart w:id="19" w:name="X8efdd492f8b218b72ce0d5d1fb0a366df80c359"/>
      <w:r>
        <w:rPr/>
        <w:t>Программа может быть свободно реализована на всей территории Российской Федерации; правообладатель оказывает техническую поддержку, модификацию и адаптацию программы без привлечения иностранных лиц. Условия использования — в проекте лицензионного договора.</w:t>
      </w:r>
      <w:bookmarkEnd w:id="19"/>
    </w:p>
    <w:p>
      <w:pPr>
        <w:pStyle w:val="Heading1"/>
        <w:rPr/>
      </w:pPr>
      <w:bookmarkStart w:id="20" w:name="__RefHeading___Toc37602_1804324697"/>
      <w:bookmarkEnd w:id="20"/>
      <w:r>
        <w:rPr>
          <w:rStyle w:val="SectionNumber"/>
        </w:rPr>
        <w:t>6</w:t>
      </w:r>
      <w:r>
        <w:rPr/>
        <w:tab/>
        <w:t>Совместимость с российскими операционными системами</w:t>
      </w:r>
    </w:p>
    <w:p>
      <w:pPr>
        <w:pStyle w:val="Heading2"/>
        <w:rPr/>
      </w:pPr>
      <w:bookmarkStart w:id="21" w:name="__RefHeading___Toc37604_1804324697"/>
      <w:bookmarkStart w:id="22" w:name="требование"/>
      <w:bookmarkEnd w:id="21"/>
      <w:r>
        <w:rPr>
          <w:rStyle w:val="SectionNumber"/>
        </w:rPr>
        <w:t>6.1</w:t>
      </w:r>
      <w:r>
        <w:rPr/>
        <w:tab/>
        <w:t>Требование</w:t>
      </w:r>
    </w:p>
    <w:p>
      <w:pPr>
        <w:pStyle w:val="FirstParagraph"/>
        <w:rPr/>
      </w:pPr>
      <w:bookmarkStart w:id="23" w:name="требование"/>
      <w:r>
        <w:rPr/>
        <w:t>Правилами формирования реестра предусматривается подтверждение совместимости программы с операционными системами, включёнными в реестр (требование вводится поэтапно; проверьте действующую редакцию Правил и количество ОС, с которыми требуется совместимость, на дату подачи).</w:t>
      </w:r>
      <w:bookmarkEnd w:id="23"/>
    </w:p>
    <w:p>
      <w:pPr>
        <w:pStyle w:val="Heading2"/>
        <w:rPr/>
      </w:pPr>
      <w:bookmarkStart w:id="24" w:name="__RefHeading___Toc37606_1804324697"/>
      <w:bookmarkEnd w:id="24"/>
      <w:r>
        <w:rPr>
          <w:rStyle w:val="SectionNumber"/>
        </w:rPr>
        <w:t>6.2</w:t>
      </w:r>
      <w:r>
        <w:rPr/>
        <w:tab/>
        <w:t>Техническая основа совместимости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Часть программы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Как работает на российских ОС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Серверная часть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Контейнеры Docker на любом 64-битном Linux (x86-64) с Docker Engine 24+ и Docker Compose v2. Образы построены на Alpine Linux и не зависят от пакетов ОС сервера: от ОС требуется только среда контейнеров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Клиентская часть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Веб-интерфейс в браузере на любой ОС рабочего места. Из браузеров в составе российских ОС: Яндекс Браузер и Chromium — на движке Chromium, на котором выполняются e2e-тесты интерфейса; Firefox — поддерживаемый браузер по ТЗ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Мобильные устройства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Отдельного приложения нет: интерфейс адаптирован для мобильных браузеров (ширина экрана от 360 px)</w:t>
            </w:r>
            <w:bookmarkStart w:id="25" w:name="техническая-основа-совместимости"/>
            <w:bookmarkEnd w:id="25"/>
          </w:p>
        </w:tc>
      </w:tr>
    </w:tbl>
    <w:p>
      <w:pPr>
        <w:pStyle w:val="Heading2"/>
        <w:rPr/>
      </w:pPr>
      <w:bookmarkStart w:id="26" w:name="__RefHeading___Toc37608_1804324697"/>
      <w:bookmarkEnd w:id="26"/>
      <w:r>
        <w:rPr>
          <w:rStyle w:val="SectionNumber"/>
        </w:rPr>
        <w:t>6.3</w:t>
      </w:r>
      <w:r>
        <w:rPr/>
        <w:tab/>
        <w:t>Порядок подтверждения</w:t>
      </w:r>
    </w:p>
    <w:p>
      <w:pPr>
        <w:pStyle w:val="FirstParagraph"/>
        <w:rPr/>
      </w:pPr>
      <w:r>
        <w:rPr/>
        <w:t>Подтверждение оформляется по результатам испытаний на каждой заявляемой ОС, например: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ОС (кандидаты)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Роль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проверяется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Astra Linux Special Edition 1.7 / 1.8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 и рабочее место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Установка Docker Engine и Docker Compose v2 из репозитория ОС (версия Docker не ниже 24), запуск стенда из дистрибутива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load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готовых образов или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compose --profile full up -d --build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), загрузка демо-данных, проверки из «Инструкции для эксперта», работа в браузере из состава ОС; режим защищённости ОС, в котором проведены испытания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РЕД ОС 7.3 / 8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 и рабочее место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То же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Альт Сервер / Альт Рабочая станция 10 / 11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 и рабочее место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То же</w:t>
            </w:r>
          </w:p>
        </w:tc>
      </w:tr>
    </w:tbl>
    <w:p>
      <w:pPr>
        <w:pStyle w:val="BodyText"/>
        <w:rPr/>
      </w:pPr>
      <w:r>
        <w:rPr/>
        <w:t xml:space="preserve">Результаты оформляются протоколом испытаний (форма ниже) или, предпочтительно, сертификатом (письмом) о совместимости от разработчика ОС по его программе технологической совместимости. </w:t>
      </w:r>
      <w:r>
        <w:rPr>
          <w:rStyle w:val="VerbatimChar"/>
        </w:rPr>
        <w:t>[заполняет правообладатель: выбранные ОС и полученные документы]</w:t>
      </w:r>
    </w:p>
    <w:p>
      <w:pPr>
        <w:pStyle w:val="Heading2"/>
        <w:rPr/>
      </w:pPr>
      <w:bookmarkStart w:id="27" w:name="__RefHeading___Toc37610_1804324697"/>
      <w:bookmarkEnd w:id="27"/>
      <w:r>
        <w:rPr>
          <w:rStyle w:val="SectionNumber"/>
        </w:rPr>
        <w:t>6.4</w:t>
      </w:r>
      <w:r>
        <w:rPr/>
        <w:tab/>
        <w:t>Форма протокола испытаний совместимости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Программа, версия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«Планировщик отпусков» 1.0.0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Дистрибутив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[имя архива или образов, контрольные суммы SHA-256]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Операционная система, версия, редакция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Режим защищённости ОС (если применимо)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Аппаратная платформа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[x86-64, параметры ВМ или сервера: vCPU, ОЗУ, диск]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Версия Docker Engine / Docker Compose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Браузер рабочего места, версия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Дата и место проведения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Результаты установки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[успешно / замечания]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Проверка работоспособности стенда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[docker compose ps — все сервисы running/healthy; /readyz — {"ok":true}]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Результаты проверок «Инструкции для эксперта»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[число успешных, перечень замечаний]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Исходящие соединения за пределы стенда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[не обнаружены / перечень]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Вывод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[совместима / несовместима]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Испытания провели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[ФИО, должность, подпись]</w:t>
            </w:r>
            <w:bookmarkStart w:id="28" w:name="X4dc3ad14a6327bd3b7a8ffd05befc127a9d02d4"/>
            <w:bookmarkStart w:id="29" w:name="форма-протокола-испытаний-совместимости"/>
            <w:bookmarkEnd w:id="28"/>
            <w:bookmarkEnd w:id="29"/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Сведения о программе для заявления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Сведения о программе для заявления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2026-10-30T06:03:53Z</dcterms:created>
  <dc:creator/>
  <dc:description/>
  <dc:language>en-US</dc:language>
  <cp:lastModifiedBy/>
  <dcterms:modified xsi:type="dcterms:W3CDTF">2026-10-30T06:06:00Z</dcterms:modified>
  <cp:revision>1</cp:revision>
  <dc:subject/>
  <dc:title>Сведения о программе для заявления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октября 2026</vt:lpwstr>
  </property>
  <property fmtid="{D5CDD505-2E9C-101B-9397-08002B2CF9AE}" pid="3" name="subtitle">
    <vt:lpwstr>Планировщик отпусков 1.0.0 · Единый реестр российских программ</vt:lpwstr>
  </property>
  <property fmtid="{D5CDD505-2E9C-101B-9397-08002B2CF9AE}" pid="4" name="toc-title">
    <vt:lpwstr>Содержание</vt:lpwstr>
  </property>
</Properties>
</file>