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Комплект документов для реестра</w:t>
      </w:r>
    </w:p>
    <w:p>
      <w:pPr>
        <w:pStyle w:val="Subtitle"/>
        <w:rPr/>
      </w:pPr>
      <w:r>
        <w:rPr/>
        <w:t>Планировщик отпусков 1.0.0 · Перечень и чек-лист готовности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6442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444_1804324697">
            <w:r>
              <w:rPr>
                <w:webHidden/>
                <w:rStyle w:val="IndexLink"/>
              </w:rPr>
              <w:t>2 Состав комплекта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446_1804324697">
            <w:r>
              <w:rPr>
                <w:webHidden/>
                <w:rStyle w:val="IndexLink"/>
              </w:rPr>
              <w:t>3 Требования и статус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448_1804324697">
            <w:r>
              <w:rPr>
                <w:webHidden/>
                <w:rStyle w:val="IndexLink"/>
              </w:rPr>
              <w:t>4 Действия правообладателя перед подачей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450_1804324697">
            <w:r>
              <w:rPr>
                <w:webHidden/>
                <w:rStyle w:val="IndexLink"/>
              </w:rPr>
              <w:t>4.1 Юридические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452_1804324697">
            <w:r>
              <w:rPr>
                <w:webHidden/>
                <w:rStyle w:val="IndexLink"/>
              </w:rPr>
              <w:t>4.2 Организационные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454_1804324697">
            <w:r>
              <w:rPr>
                <w:webHidden/>
                <w:rStyle w:val="IndexLink"/>
              </w:rPr>
              <w:t>4.3 Технические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456_1804324697">
            <w:r>
              <w:rPr>
                <w:webHidden/>
                <w:rStyle w:val="IndexLink"/>
              </w:rPr>
              <w:t>5 Наблюдения по итогам подготовки комплекта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36442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Документ — путеводитель по комплекту для включения программы «Планировщик отпусков» версии 1.0.0 в единый реестр российских программ для ЭВМ и баз данных (Правила утверждены постановлением Правительства РФ от 16.11.2015 № 1236). В нём:</w:t>
      </w:r>
    </w:p>
    <w:p>
      <w:pPr>
        <w:pStyle w:val="Compact"/>
        <w:numPr>
          <w:ilvl w:val="0"/>
          <w:numId w:val="1"/>
        </w:numPr>
        <w:rPr/>
      </w:pPr>
      <w:r>
        <w:rPr/>
        <w:t>состав комплекта и назначение каждого документа;</w:t>
      </w:r>
    </w:p>
    <w:p>
      <w:pPr>
        <w:pStyle w:val="Compact"/>
        <w:numPr>
          <w:ilvl w:val="0"/>
          <w:numId w:val="1"/>
        </w:numPr>
        <w:rPr/>
      </w:pPr>
      <w:r>
        <w:rPr/>
        <w:t>соответствие требований Правил документам комплекта и текущий статус;</w:t>
      </w:r>
    </w:p>
    <w:p>
      <w:pPr>
        <w:pStyle w:val="Compact"/>
        <w:numPr>
          <w:ilvl w:val="0"/>
          <w:numId w:val="1"/>
        </w:numPr>
        <w:rPr/>
      </w:pPr>
      <w:r>
        <w:rPr/>
        <w:t>действия, которые должен выполнить правообладатель перед подачей;</w:t>
      </w:r>
    </w:p>
    <w:p>
      <w:pPr>
        <w:pStyle w:val="Compact"/>
        <w:numPr>
          <w:ilvl w:val="0"/>
          <w:numId w:val="1"/>
        </w:numPr>
        <w:rPr/>
      </w:pPr>
      <w:r>
        <w:rPr/>
        <w:t>наблюдения, найденные при подготовке комплекта, с рекомендациями.</w:t>
      </w:r>
    </w:p>
    <w:p>
      <w:pPr>
        <w:pStyle w:val="FirstParagraph"/>
        <w:rPr/>
      </w:pPr>
      <w:bookmarkStart w:id="2" w:name="о-документе"/>
      <w:r>
        <w:rPr/>
        <w:t>Требования Правил и форма заявления меняются; перед подачей сверьте этот чек-лист с действующей редакцией Правил, приказом Минцифры № 486 (классификатор) и инструкцией к личному кабинету на портале Госуслуг.</w:t>
      </w:r>
      <w:bookmarkEnd w:id="2"/>
    </w:p>
    <w:p>
      <w:pPr>
        <w:pStyle w:val="Heading1"/>
        <w:rPr/>
      </w:pPr>
      <w:bookmarkStart w:id="3" w:name="__RefHeading___Toc36444_1804324697"/>
      <w:bookmarkStart w:id="4" w:name="состав-комплекта"/>
      <w:bookmarkEnd w:id="3"/>
      <w:r>
        <w:rPr>
          <w:rStyle w:val="SectionNumber"/>
        </w:rPr>
        <w:t>2</w:t>
      </w:r>
      <w:r>
        <w:rPr/>
        <w:tab/>
        <w:t>Состав комплекта</w:t>
      </w:r>
    </w:p>
    <w:p>
      <w:pPr>
        <w:pStyle w:val="FirstParagraph"/>
        <w:rPr/>
      </w:pPr>
      <w:r>
        <w:rPr/>
        <w:t xml:space="preserve">Исходный текст документов — Markdown в репозитории. DOCX (для правки и подписания) и PDF (для подачи и публикации) собираются скриптом </w:t>
      </w:r>
      <w:r>
        <w:rPr>
          <w:rStyle w:val="VerbatimChar"/>
        </w:rPr>
        <w:t>tools/docs/build_docs.py</w:t>
      </w:r>
      <w:r>
        <w:rPr/>
        <w:t xml:space="preserve"> в каталоги </w:t>
      </w:r>
      <w:r>
        <w:rPr>
          <w:rStyle w:val="VerbatimChar"/>
        </w:rPr>
        <w:t>docs/docx/</w:t>
      </w:r>
      <w:r>
        <w:rPr/>
        <w:t xml:space="preserve"> и </w:t>
      </w:r>
      <w:r>
        <w:rPr>
          <w:rStyle w:val="VerbatimChar"/>
        </w:rPr>
        <w:t>docs/pdf/</w:t>
      </w:r>
      <w:r>
        <w:rPr/>
        <w:t xml:space="preserve"> под тем же именем файла.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84"/>
        <w:gridCol w:w="2283"/>
        <w:gridCol w:w="2282"/>
        <w:gridCol w:w="4110"/>
      </w:tblGrid>
      <w:tr>
        <w:trPr>
          <w:tblHeader w:val="true"/>
        </w:trPr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Документ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Файл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 при подаче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Сведения о программе для заявления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docs/registry/application-data.md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Значения полей заявления, классы ПО, сведения о правообладателе, проекты деклараций, порядок подтверждения совместимости с российскими ОС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Описание функциональных характеристик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docs/registry/functional-description.md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Обязательное описание функций программы; основание для выбора класса; публикуется на сайте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Описание архитектуры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docs/registry/architecture.md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Состав, компоненты, модель данных, API, безопасность, технологическая независимость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Описание процессов жизненного цикла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docs/registry/lifecycle.md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Разработка, тестирование, выпуск, устранение неисправностей, поддержка, персонал и инфраструктура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Инструкция для эксперта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docs/registry/expert-guide.md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 к стенду, установка из дистрибутива, проверки функций, проверка технологической независимости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Сведения о стоимости и условиях лицензирования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docs/registry/pricing.md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Сведения о стоимости для сайта и заявления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Проект лицензионного договора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docs/registry/license-agreement.md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Подтверждение законного введения в оборот, условия использования, публичная лицензия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Сторонние компоненты и лицензии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docs/registry/third-party-notices.md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по лицензиям компонентов в поставке, образы контейнеров и агрегирование; формируется скриптом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SBOM и анализ лицензий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docs/sbom/licenses-report.md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sbom/server.cdx.json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sbom/web.cdx.json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(артефакт CI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sbom-cyclonedx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docs/sbom/sbom-components.csv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Состав компонентов, анализ лицензий, отсутствие платежей иностранным правообладателям; политика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docs/specs/11-sbom-licenses.md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Руководство пользователя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docs/manuals/user-guide.md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 по эксплуатации: сотрудник и руководитель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Руководство администратора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docs/manuals/admin-guide.md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 по эксплуатации: администратор и кадровая служба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Руководство по развёртыванию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docs/manuals/deployment-guide.md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 по установке, обновлению, резервному копированию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Демонстрационные данные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server/prisma/seed.ts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server/prisma/seed-data/seed.json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Наполнение стенда для экспертизы: 131 сотрудник, 14 отделов, производственный календарь; загрузка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exec server npm run db:seed:prod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(руководство по развёртыванию, «Установка», шаг 4)</w:t>
            </w:r>
          </w:p>
        </w:tc>
      </w:tr>
      <w:tr>
        <w:trPr/>
        <w:tc>
          <w:tcPr>
            <w:tcW w:w="684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</w:t>
            </w:r>
          </w:p>
        </w:tc>
        <w:tc>
          <w:tcPr>
            <w:tcW w:w="2283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Дистрибутив версии 1.0.0</w:t>
            </w:r>
          </w:p>
        </w:tc>
        <w:tc>
          <w:tcPr>
            <w:tcW w:w="22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Готовится при выпуске: архив исходных текстов сборки, архивы образов контейнеров, файл контрольных сумм SHA-256</w:t>
            </w:r>
          </w:p>
        </w:tc>
        <w:tc>
          <w:tcPr>
            <w:tcW w:w="41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Установка экспертом и заказчиками, в том числе в закрытом контуре; передаётся по акту приёма-передачи</w:t>
            </w:r>
          </w:p>
        </w:tc>
      </w:tr>
    </w:tbl>
    <w:p>
      <w:pPr>
        <w:pStyle w:val="BodyText"/>
        <w:rPr/>
      </w:pPr>
      <w:r>
        <w:rPr/>
        <w:t>Пересборка документов: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sbom                                   </w:t>
      </w:r>
      <w:r>
        <w:rPr>
          <w:rStyle w:val="CommentTok"/>
        </w:rPr>
        <w:t># SBOM sbom/*.cdx.json и отчёт docs/sbom/licenses-report.md</w:t>
      </w:r>
      <w:r>
        <w:rPr/>
        <w:br/>
      </w:r>
      <w:r>
        <w:rPr>
          <w:rStyle w:val="ExtensionTok"/>
        </w:rPr>
        <w:t>node</w:t>
      </w:r>
      <w:r>
        <w:rPr>
          <w:rStyle w:val="NormalTok"/>
        </w:rPr>
        <w:t xml:space="preserve"> scripts/third-party-notices.mjs        </w:t>
      </w:r>
      <w:r>
        <w:rPr>
          <w:rStyle w:val="CommentTok"/>
        </w:rPr>
        <w:t># уведомления и docs/sbom/sbom-components.csv — после каждого make sbom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tools/docs/gen_tables.py            </w:t>
      </w:r>
      <w:r>
        <w:rPr>
          <w:rStyle w:val="CommentTok"/>
        </w:rPr>
        <w:t># таблицы из кода: каталог API, словарь данных, показатели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docs-diagrams                          </w:t>
      </w:r>
      <w:r>
        <w:rPr>
          <w:rStyle w:val="CommentTok"/>
        </w:rPr>
        <w:t># схемы docs/diagrams → docs/images (node render_diagrams.mjs + optimize_png.py)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docs                                   </w:t>
      </w:r>
      <w:r>
        <w:rPr>
          <w:rStyle w:val="CommentTok"/>
        </w:rPr>
        <w:t># DOCX → docs/docx/, PDF → docs/pdf/ (python3 tools/docs/build_docs.py)</w:t>
      </w:r>
      <w:bookmarkEnd w:id="4"/>
    </w:p>
    <w:p>
      <w:pPr>
        <w:pStyle w:val="Heading1"/>
        <w:rPr/>
      </w:pPr>
      <w:bookmarkStart w:id="5" w:name="__RefHeading___Toc36446_1804324697"/>
      <w:bookmarkEnd w:id="5"/>
      <w:r>
        <w:rPr>
          <w:rStyle w:val="SectionNumber"/>
        </w:rPr>
        <w:t>3</w:t>
      </w:r>
      <w:r>
        <w:rPr/>
        <w:tab/>
        <w:t>Требования и статус</w:t>
      </w:r>
    </w:p>
    <w:p>
      <w:pPr>
        <w:pStyle w:val="FirstParagraph"/>
        <w:rPr/>
      </w:pPr>
      <w:r>
        <w:rPr/>
        <w:t xml:space="preserve">Статусы: </w:t>
      </w:r>
      <w:r>
        <w:rPr>
          <w:b/>
          <w:bCs/>
        </w:rPr>
        <w:t>готово</w:t>
      </w:r>
      <w:r>
        <w:rPr/>
        <w:t xml:space="preserve"> — документ или свойство программы подготовлены; </w:t>
      </w:r>
      <w:r>
        <w:rPr>
          <w:b/>
          <w:bCs/>
        </w:rPr>
        <w:t>заполнить</w:t>
      </w:r>
      <w:r>
        <w:rPr/>
        <w:t xml:space="preserve"> — нужны сведения правообладателя; </w:t>
      </w:r>
      <w:r>
        <w:rPr>
          <w:b/>
          <w:bCs/>
        </w:rPr>
        <w:t>выполнить</w:t>
      </w:r>
      <w:r>
        <w:rPr/>
        <w:t xml:space="preserve"> — нужно действие правообладателя или исправление вне этого комплекта.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10"/>
        <w:gridCol w:w="2042"/>
        <w:gridCol w:w="1702"/>
        <w:gridCol w:w="1021"/>
        <w:gridCol w:w="4085"/>
      </w:tblGrid>
      <w:tr>
        <w:trPr>
          <w:tblHeader w:val="true"/>
        </w:trPr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Требование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Где отражено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Статус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сделать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Исключительное право принадлежит РФ, субъекту РФ, муниципальному образованию, российской НКО, российскому юрлицу без преобладающего иностранного участия или гражданину РФ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application-data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«Сведения о правообладателе», «Исключительное право»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Указать правообладателя (в ТЗ — Александр Юрасов) и основание права; собрать документы о правах на весь код. В истории репозитория — коммиты от трёх авторских записей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ayurasov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Alexander Yurasov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Claude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из них 19 коммитов записаны на ИИ-ассистента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Claude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(с отметкой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Co-Authored-By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по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docs/versions.md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остальные версии выполнены с ИИ-ассистентами: 0.1.0–0.2.1 — ZCode/GLM, с 0.3.0 — Claude Code. Права на этот вклад и на дизайн-систему, общую с другими продуктами, должны быть закреплены за правообладателем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Программа законно введена в оборот, правообладатель может распространять её на территории РФ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license-agreement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pricing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Юрист дорабатывает и утверждает лицензионный договор; опубликовать условия и цены на сайте; добавить файл публичной лицензии в репозиторий и дистрибутив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Выплаты иностранным лицам — менее 30 % выручки от реализации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application-data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«Выплаты иностранным лицам»;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licenses-report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Подтвердить по данным бухгалтерского учёта, включая оплату иностранных ИИ-ассистентов и платформы размещения кода, если они платные; сторонние компоненты свободные, лицензионных платежей нет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принудительного обновления и управления из-за рубежа, нет несанкционированной передачи информации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application-data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декларации;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architecture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expert-guide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проверка независимости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коде программы механизмов нет, но сторонние инструменты в образе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при сборке обращаются в интернет (наблюдения 2–3). Отключить, проверить отсутствие исходящих соединений на стенде, затем подписать декларацию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Сведения о программе не составляют государственную тайну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application-data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готово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Подтвердить в заявлении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Совместимость с российскими ОС из реестра (требование вводится поэтапно)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application-data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«Совместимость с российскими операционными системами»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Провести испытания на выбранных ОС (Astra Linux, РЕД ОС, Альт) по форме протокола; по возможности получить письма о совместимости от разработчиков ОС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Описание функциональных характеристик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functional-description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готово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Опубликовать на сайте программы; после окончательной редакции сверить идентификаторы функций в маркерах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&lt;!-- Ф-ID: … --&gt;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раздела «Классы по классификатору»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application-data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перенести их в текст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 по установке и эксплуатации на русском языке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deployment-guide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user-guide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admin-guide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Руководства написаны для версии 0.6.0 (наблюдение 5): обновить до редакции 1.0.0, пересобрать DOCX и PDF, опубликовать на сайте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Описание процессов жизненного цикла и поддержки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lifecycle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Указать контакты поддержки, сроки реакции, численность и место работы персонала, размещение репозитория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Сведения о стоимости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pricing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Выбрать модель лицензирования, утвердить прейскурант и уровни поддержки; опубликовать на сайте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Класс программы по классификатору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application-data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«Классы по классификатору»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Сверить наименования и коды классов с действующим приказом № 486; выбрать основной класс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 эксперта к программе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expert-guide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демонстрационные данные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Развернуть демонстрационный стенд с HTTPS, наполнить данными, сменить опубликованные демо-пароли (наблюдение 8), указать адрес и способ передачи паролей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Дистрибутив с контрольными суммами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license-agreement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Приложение 1;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expert-guide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Собрать дистрибутив версии 1.0.0: архив исходных текстов с тега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v1.0.0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git archive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архивы образов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save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 с зафиксированными дайджестами, файл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SHA256SUMS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sha256sum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скрипта сборки дистрибутива в репозитории пока нет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Сайт программы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Страница с описанием функций, документацией, стоимостью и контактами поддержки; указать адрес в заявлении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Сведения о свободном ПО в составе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licenses-report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sbom-components.csv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third-party-notices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Документы готовы; SBOM сформирован до смены номера версии (в метаданных — 0.6.0, состав совпадает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package-lock.json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версии 1.0.0). Сформировать SBOM на теге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v1.0.0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перезапустить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scripts/license-report.mjs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scripts/third-party-notices.mjs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сохранить SBOM в выпуске бессрочно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16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Учредительные документы и сведения об участниках правообладателя (для гражданина — документы о гражданстве)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Подготовить устав, выписку ЕГРЮЛ и сведения о структуре владения либо документы гражданина РФ</w:t>
            </w:r>
          </w:p>
        </w:tc>
      </w:tr>
      <w:tr>
        <w:trPr/>
        <w:tc>
          <w:tcPr>
            <w:tcW w:w="51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17</w:t>
            </w:r>
          </w:p>
        </w:tc>
        <w:tc>
          <w:tcPr>
            <w:tcW w:w="204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Государственная регистрация программы в Роспатенте</w:t>
            </w:r>
          </w:p>
        </w:tc>
        <w:tc>
          <w:tcPr>
            <w:tcW w:w="170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02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выполнить</w:t>
            </w:r>
          </w:p>
        </w:tc>
        <w:tc>
          <w:tcPr>
            <w:tcW w:w="408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Необязательна для реестра, но упрощает подтверждение прав; при наличии указать номер свидетельства</w:t>
            </w:r>
            <w:bookmarkStart w:id="6" w:name="требования-и-статус"/>
            <w:bookmarkEnd w:id="6"/>
          </w:p>
        </w:tc>
      </w:tr>
    </w:tbl>
    <w:p>
      <w:pPr>
        <w:pStyle w:val="Heading1"/>
        <w:rPr/>
      </w:pPr>
      <w:bookmarkStart w:id="7" w:name="__RefHeading___Toc36448_1804324697"/>
      <w:bookmarkEnd w:id="7"/>
      <w:r>
        <w:rPr>
          <w:rStyle w:val="SectionNumber"/>
        </w:rPr>
        <w:t>4</w:t>
      </w:r>
      <w:r>
        <w:rPr/>
        <w:tab/>
        <w:t>Действия правообладателя перед подачей</w:t>
      </w:r>
    </w:p>
    <w:p>
      <w:pPr>
        <w:pStyle w:val="Heading2"/>
        <w:rPr/>
      </w:pPr>
      <w:bookmarkStart w:id="8" w:name="__RefHeading___Toc36450_1804324697"/>
      <w:bookmarkStart w:id="9" w:name="юридические"/>
      <w:bookmarkEnd w:id="8"/>
      <w:r>
        <w:rPr>
          <w:rStyle w:val="SectionNumber"/>
        </w:rPr>
        <w:t>4.1</w:t>
      </w:r>
      <w:r>
        <w:rPr/>
        <w:tab/>
        <w:t>Юридические</w:t>
      </w:r>
    </w:p>
    <w:p>
      <w:pPr>
        <w:pStyle w:val="Compact"/>
        <w:numPr>
          <w:ilvl w:val="0"/>
          <w:numId w:val="6"/>
        </w:numPr>
        <w:rPr/>
      </w:pPr>
      <w:r>
        <w:rPr/>
        <w:t>Определить правообладателя и оформить права на весь код программы, включая результаты, полученные с ИИ-ассистентами, и общую с другими продуктами дизайн-систему (п. 1 таблицы).</w:t>
      </w:r>
    </w:p>
    <w:p>
      <w:pPr>
        <w:pStyle w:val="Compact"/>
        <w:numPr>
          <w:ilvl w:val="0"/>
          <w:numId w:val="2"/>
        </w:numPr>
        <w:rPr/>
      </w:pPr>
      <w:r>
        <w:rPr/>
        <w:t>Проверить условия использования ИИ-ассистентов, применявшихся при разработке: права на результаты должны принадлежать пользователю сервиса без ограничений на коммерческое распространение.</w:t>
      </w:r>
    </w:p>
    <w:p>
      <w:pPr>
        <w:pStyle w:val="Compact"/>
        <w:numPr>
          <w:ilvl w:val="0"/>
          <w:numId w:val="2"/>
        </w:numPr>
        <w:rPr/>
      </w:pPr>
      <w:r>
        <w:rPr/>
        <w:t>Утвердить лицензионный договор и публичную лицензию (</w:t>
      </w:r>
      <w:r>
        <w:rPr>
          <w:rStyle w:val="VerbatimChar"/>
        </w:rPr>
        <w:t>LICENSE.ru.txt</w:t>
      </w:r>
      <w:r>
        <w:rPr/>
        <w:t xml:space="preserve">); добавить файл лицензии в репозиторий и дистрибутив, заменить </w:t>
      </w:r>
      <w:r>
        <w:rPr>
          <w:rStyle w:val="VerbatimChar"/>
        </w:rPr>
        <w:t>"license": "UNLICENSED"</w:t>
      </w:r>
      <w:r>
        <w:rPr/>
        <w:t xml:space="preserve"> в </w:t>
      </w:r>
      <w:r>
        <w:rPr>
          <w:rStyle w:val="VerbatimChar"/>
        </w:rPr>
        <w:t>server/package.json</w:t>
      </w:r>
      <w:r>
        <w:rPr/>
        <w:t xml:space="preserve"> и </w:t>
      </w:r>
      <w:r>
        <w:rPr>
          <w:rStyle w:val="VerbatimChar"/>
        </w:rPr>
        <w:t>web/package.json</w:t>
      </w:r>
      <w:r>
        <w:rPr/>
        <w:t xml:space="preserve"> ссылкой на него.</w:t>
      </w:r>
    </w:p>
    <w:p>
      <w:pPr>
        <w:pStyle w:val="Compact"/>
        <w:numPr>
          <w:ilvl w:val="0"/>
          <w:numId w:val="2"/>
        </w:numPr>
        <w:rPr/>
      </w:pPr>
      <w:r>
        <w:rPr/>
        <w:t>Подготовить учредительные документы и сведения о доле иностранного участия (для гражданина — документы о гражданстве).</w:t>
      </w:r>
    </w:p>
    <w:p>
      <w:pPr>
        <w:pStyle w:val="Compact"/>
        <w:numPr>
          <w:ilvl w:val="0"/>
          <w:numId w:val="2"/>
        </w:numPr>
        <w:rPr/>
      </w:pPr>
      <w:bookmarkStart w:id="10" w:name="юридические"/>
      <w:r>
        <w:rPr/>
        <w:t>При необходимости зарегистрировать программу в Роспатенте.</w:t>
      </w:r>
      <w:bookmarkEnd w:id="10"/>
    </w:p>
    <w:p>
      <w:pPr>
        <w:pStyle w:val="Heading2"/>
        <w:rPr/>
      </w:pPr>
      <w:bookmarkStart w:id="11" w:name="__RefHeading___Toc36452_1804324697"/>
      <w:bookmarkStart w:id="12" w:name="организационные"/>
      <w:bookmarkEnd w:id="11"/>
      <w:r>
        <w:rPr>
          <w:rStyle w:val="SectionNumber"/>
        </w:rPr>
        <w:t>4.2</w:t>
      </w:r>
      <w:r>
        <w:rPr/>
        <w:tab/>
        <w:t>Организационные</w:t>
      </w:r>
    </w:p>
    <w:p>
      <w:pPr>
        <w:pStyle w:val="Compact"/>
        <w:numPr>
          <w:ilvl w:val="0"/>
          <w:numId w:val="7"/>
        </w:numPr>
        <w:rPr/>
      </w:pPr>
      <w:r>
        <w:rPr/>
        <w:t xml:space="preserve">Заполнить поля </w:t>
      </w:r>
      <w:r>
        <w:rPr>
          <w:rStyle w:val="VerbatimChar"/>
        </w:rPr>
        <w:t>[заполняет правообладатель]</w:t>
      </w:r>
      <w:r>
        <w:rPr/>
        <w:t xml:space="preserve"> в документах 1, 4, 5, 6, 7 и пересобрать DOCX и PDF.</w:t>
      </w:r>
    </w:p>
    <w:p>
      <w:pPr>
        <w:pStyle w:val="Compact"/>
        <w:numPr>
          <w:ilvl w:val="0"/>
          <w:numId w:val="8"/>
        </w:numPr>
        <w:rPr/>
      </w:pPr>
      <w:r>
        <w:rPr/>
        <w:t>Утвердить модель лицензирования, прейскурант и условия поддержки.</w:t>
      </w:r>
    </w:p>
    <w:p>
      <w:pPr>
        <w:pStyle w:val="Compact"/>
        <w:numPr>
          <w:ilvl w:val="0"/>
          <w:numId w:val="9"/>
        </w:numPr>
        <w:rPr/>
      </w:pPr>
      <w:r>
        <w:rPr/>
        <w:t>Опубликовать на сайте: описание функциональных характеристик, руководства, стоимость, контакты.</w:t>
      </w:r>
    </w:p>
    <w:p>
      <w:pPr>
        <w:pStyle w:val="Compact"/>
        <w:numPr>
          <w:ilvl w:val="0"/>
          <w:numId w:val="10"/>
        </w:numPr>
        <w:rPr/>
      </w:pPr>
      <w:bookmarkStart w:id="13" w:name="организационные"/>
      <w:r>
        <w:rPr/>
        <w:t>Сделать основным репозиторий и CI на собственном сервере Gitea, а GitHub — зеркалом или закрыть его; держать базовые образы и пакеты npm в зеркалах организации (см. «Описание процессов жизненного цикла»).</w:t>
      </w:r>
      <w:bookmarkEnd w:id="13"/>
    </w:p>
    <w:p>
      <w:pPr>
        <w:pStyle w:val="Heading2"/>
        <w:rPr/>
      </w:pPr>
      <w:bookmarkStart w:id="14" w:name="__RefHeading___Toc36454_1804324697"/>
      <w:bookmarkStart w:id="15" w:name="технические"/>
      <w:bookmarkEnd w:id="14"/>
      <w:r>
        <w:rPr>
          <w:rStyle w:val="SectionNumber"/>
        </w:rPr>
        <w:t>4.3</w:t>
      </w:r>
      <w:r>
        <w:rPr/>
        <w:tab/>
        <w:t>Технические</w:t>
      </w:r>
    </w:p>
    <w:p>
      <w:pPr>
        <w:pStyle w:val="Compact"/>
        <w:numPr>
          <w:ilvl w:val="0"/>
          <w:numId w:val="11"/>
        </w:numPr>
        <w:rPr/>
      </w:pPr>
      <w:r>
        <w:rPr/>
        <w:t>Отключить обращения сторонних инструментов в интернет (наблюдения 2–3) и проверить на стенде, что исходящих соединений за пределы стенда нет.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Обновить документы и руководства до редакции 1.0.0, внести выпуск 1.0.0 в </w:t>
      </w:r>
      <w:r>
        <w:rPr>
          <w:rStyle w:val="VerbatimChar"/>
        </w:rPr>
        <w:t>docs/versions.md</w:t>
      </w:r>
      <w:r>
        <w:rPr/>
        <w:t xml:space="preserve"> и </w:t>
      </w:r>
      <w:r>
        <w:rPr>
          <w:rStyle w:val="VerbatimChar"/>
        </w:rPr>
        <w:t>CHANGELOG.md</w:t>
      </w:r>
      <w:r>
        <w:rPr/>
        <w:t xml:space="preserve"> (наблюдения 5–6).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Добавить документы </w:t>
      </w:r>
      <w:r>
        <w:rPr>
          <w:rStyle w:val="VerbatimChar"/>
        </w:rPr>
        <w:t>docs/registry/</w:t>
      </w:r>
      <w:r>
        <w:rPr/>
        <w:t xml:space="preserve"> в сборку </w:t>
      </w:r>
      <w:r>
        <w:rPr>
          <w:rStyle w:val="VerbatimChar"/>
        </w:rPr>
        <w:t>tools/docs/build_docs.py</w:t>
      </w:r>
      <w:r>
        <w:rPr/>
        <w:t xml:space="preserve"> и собрать DOCX и PDF (наблюдение 11).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Сформировать SBOM на теге </w:t>
      </w:r>
      <w:r>
        <w:rPr>
          <w:rStyle w:val="VerbatimChar"/>
        </w:rPr>
        <w:t>v1.0.0</w:t>
      </w:r>
      <w:r>
        <w:rPr/>
        <w:t xml:space="preserve">, перезапустить отчёт по лицензиям и </w:t>
      </w:r>
      <w:r>
        <w:rPr>
          <w:rStyle w:val="VerbatimChar"/>
        </w:rPr>
        <w:t>scripts/third-party-notices.mjs</w:t>
      </w:r>
      <w:r>
        <w:rPr/>
        <w:t>.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Подготовить дистрибутив версии 1.0.0: архив исходных текстов, образы контейнеров с зафиксированными дайджестами, </w:t>
      </w:r>
      <w:r>
        <w:rPr>
          <w:rStyle w:val="VerbatimChar"/>
        </w:rPr>
        <w:t>SHA256SUMS</w:t>
      </w:r>
      <w:r>
        <w:rPr/>
        <w:t>; включить в него документ «Сторонние компоненты и лицензии».</w:t>
      </w:r>
    </w:p>
    <w:p>
      <w:pPr>
        <w:pStyle w:val="Compact"/>
        <w:numPr>
          <w:ilvl w:val="0"/>
          <w:numId w:val="16"/>
        </w:numPr>
        <w:rPr/>
      </w:pPr>
      <w:r>
        <w:rPr/>
        <w:t>Развернуть демонстрационный стенд по «Инструкции для эксперта» из дистрибутива, сменить демо-пароли и выполнить все проверки.</w:t>
      </w:r>
    </w:p>
    <w:p>
      <w:pPr>
        <w:pStyle w:val="Compact"/>
        <w:numPr>
          <w:ilvl w:val="0"/>
          <w:numId w:val="17"/>
        </w:numPr>
        <w:rPr/>
      </w:pPr>
      <w:bookmarkStart w:id="16" w:name="технические"/>
      <w:r>
        <w:rPr/>
        <w:t>Провести испытания совместимости с российскими ОС и оформить протоколы.</w:t>
      </w:r>
      <w:bookmarkEnd w:id="16"/>
    </w:p>
    <w:p>
      <w:pPr>
        <w:pStyle w:val="Heading1"/>
        <w:rPr/>
      </w:pPr>
      <w:bookmarkStart w:id="17" w:name="__RefHeading___Toc36456_1804324697"/>
      <w:bookmarkEnd w:id="17"/>
      <w:r>
        <w:rPr>
          <w:rStyle w:val="SectionNumber"/>
        </w:rPr>
        <w:t>5</w:t>
      </w:r>
      <w:r>
        <w:rPr/>
        <w:tab/>
        <w:t>Наблюдения по итогам подготовки комплекта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№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Наблюдение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Влияние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Рекомендация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Лицензия продукта в репозитории не определена: нет файла LICENSE,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server/package.json:6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web/package.json:6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"license": "UNLICENSED"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по документу 1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docs/specs/01-architecture.md:89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репозиторий на GitHub публичный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Неясны условия использования для эксперта и заказчиков; публичный код без лицензии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Добавить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LICENSE.ru.txt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публичной лицензией после утверждения юристом; решить, остаётся ли репозиторий публичным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Контейнер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старте выполняет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npx prisma migrate deploy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server/Dockerfile:30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). Обращение командной строки Prisma 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checkpoint.prisma.io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отключено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CHECKPOINT_DISABLE=1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server/Dockerfile:5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:17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но npm при запуске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раз в неделю проверяет новую версию npm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registry.npmjs.org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NPM_CONFIG_UPDATE_NOTIFIER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задан ни в Dockerfile, ни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docker-compose.yml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Противоречит декларации об отсутствии передачи данных третьим лицам при установке с доступом в интернет; эксперт увидит соединение при проверке сетевой активности. В закрытом контуре на работу не влияет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рабочей стадии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server/Dockerfile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добавить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NPM_CONFIG_UPDATE_NOTIFIER=false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вызывать Prisma без npm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 node_modules/prisma/build/index.js migrate deploy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добавить проверку исходящих соединений в «Инструкцию для эксперта»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Пакет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@scarf/scarf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1.4.0 — рабочая зависимость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swagger-ui-dist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(интерфейс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/api/docs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): его сценарий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postinstall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 ci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server/Dockerfile:7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задания CI) отправляет событие установки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scarf.sh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server/package.json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scarfSettings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SCARF_ANALYTICS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нигде не задан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Сбор статистики внешним сервисом при сборке образа и в CI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Добавить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server/package.json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"scarfSettings": {"enabled": false}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задать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SCARF_ANALYTICS=false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стадии сборки и в CI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SBOM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sbom/*.cdx.json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сформирован до смены номера версии: в метаданных указана 0.6.0 при версии 1.0.0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package.json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(состав совпадает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package-lock.json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артефакт CI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sbom-cyclonedx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хранится 30 дней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.github/workflows/ci.yml:165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SBOM, приложенный к заявлению, не соответствует номеру версии; через 30 дней SBOM выпуска недоступен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Сформировать SBOM на теге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v1.0.0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прикладывать SBOM к выпуску (релиз или архив дистрибутива) без срока хранения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Документы не приведены к версии 1.0.0: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README.md:7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«Версия: v0.6.0»;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docs/manuals/deployment-guide.md:30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git checkout v0.6.0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docs/specs/01-architecture.md:3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:15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версия и ветка 0.5.0;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docs/specs/11-sbom-licenses.md:33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«Текущее состояние (v0.5.0)»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Эксперт установит не ту версию или увидит расхождение номера версии в комплекте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Обновить документы (история E52-05) и пересобрать PDF и DOCX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docs/versions.md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CHANGELOG.md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нет выпуска 1.0.0; номер 1.0.0 уже использован для прототипа на Express и SQLite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CHANGELOG.md:189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также 1.1.0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CHANGELOG.md:185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даты выпусков в истории позже дат тегов в git (v0.6.0 — 31.10.2026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docs/versions.md:7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CHANGELOG.md:5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тег — 29.10.2026)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Неоднозначность «какая версия 1.0.0» в заявлении и документах жизненного цикла; даты выпусков не подтверждаются историей репозитория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Добавить запись о выпуске 1.0.0; переименовать записи прототипа (например, «прототип, этап 0»); выровнять даты выпусков с датами тегов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Корневой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package.json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описывает прототип: «бэкенд на Express + SQLite»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package.json:4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main: server.js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:6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файла нет), сценарий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contract:check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ссылается на отсутствующий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scripts/validate-openapi.mjs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:12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зависимости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better-sqlite3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express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:18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Эксперт может принять SQLite за СУБД программы; компоненты корневого пакета не попадают в SBOM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Удалить корневой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package.json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package-lock.json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привести их к монорепозиторию без рабочих зависимостей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Демо-пароли администратора и кадровой службы опубликованы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README.md:22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server/prisma/seed-data/seed.json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содержит 131 ФИО (в том числе ФИО правообладателя) и пароли в открытом виде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Стенд эксперта с демо-данными доступен по известным паролям; возможны вопросы о персональных данных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стенда эксперта сменить пароли и передать их отдельно; подтвердить, что ФИО в демо-данных вымышлены или используются с согласия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Образы контейнеров заданы тегами без дайджеста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server/Dockerfile:2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:15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web/Dockerfile:2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:9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docker-compose.yml:8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:84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nginx 1.27 — ветка mainline, замещённая следующими выпусками (образы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сборка клиента в 1.0.0 переведены на Node.js 22 LTS)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образов меняется между сборками; без обновлений безопасности среды выполнения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Зафиксировать дайджесты образов в выпуске; перейти на актуальную стабильную ветку nginx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Репозиторий и CI размещены на GitHub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origin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github.com/ayurasov/vacation-planner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зеркало и развёртывание — в Gitea организации; сборка образов загружает базовые образы с Docker Hub и пакеты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registry.npmjs.org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Технологическая зависимость процессов разработки и сборки от иностранных сервисов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Основной репозиторий и CI — Gitea; зеркала базовых образов и npm в инфраструктуре организации; поставка заказчикам — готовыми образами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Скрипт сборки документов не знает документов реестра: в словаре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tools/docs/build_docs.py:42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–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58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только спецификации, руководства и история версий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PDF и DOCX комплекта для подачи не собираются командой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docs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Добавить девять документов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docs/registry/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заголовками обложек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Веб-интерфейс собирается в один файл: в сборке остаются только краткие заголовки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@license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библиотек Vue, Pinia и vue-router, полные тексты лицензий в образ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попадают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Требование MIT «включать текст разрешения во все копии» выполняется только документом «Сторонние компоненты и лицензии»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Включить документ «Сторонние компоненты и лицензии» в дистрибутив и выдавать его в образе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(например,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/third-party-notices.txt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Дизайн-система (токены, иконки, паттерны) общая с другими продуктами — todo-planner и almi_license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docs/specs/01-architecture.md:180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web/src/components/common/AppIcon.vue:3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Права на общие элементы должны принадлежать правообладателю программы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Подтвердить принадлежность прав или оформить договор между правообладателями продуктов</w:t>
            </w:r>
            <w:bookmarkStart w:id="18" w:name="Xe8af9027e416b4eae465677f7c0f9f16f8a2996"/>
            <w:bookmarkEnd w:id="18"/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Комплект документов для реестра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Комплект документов для реестра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</w:num>
  <w:num w:numId="9">
    <w:abstractNumId w:val="2"/>
  </w:num>
  <w:num w:numId="10">
    <w:abstractNumId w:val="2"/>
  </w:num>
  <w:num w:numId="11">
    <w:abstractNumId w:val="2"/>
    <w:lvlOverride w:ilvl="0">
      <w:startOverride w:val="1"/>
    </w:lvlOverride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2026-10-30T06:03:48Z</dcterms:created>
  <dc:creator/>
  <dc:description/>
  <dc:language>en-US</dc:language>
  <cp:lastModifiedBy/>
  <dcterms:modified xsi:type="dcterms:W3CDTF">2026-10-30T06:06:00Z</dcterms:modified>
  <cp:revision>1</cp:revision>
  <dc:subject/>
  <dc:title>Комплект документов для реестра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Перечень и чек-лист готовности</vt:lpwstr>
  </property>
  <property fmtid="{D5CDD505-2E9C-101B-9397-08002B2CF9AE}" pid="4" name="toc-title">
    <vt:lpwstr>Содержание</vt:lpwstr>
  </property>
</Properties>
</file>