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3.png" ContentType="image/png"/>
  <Override PartName="/word/media/image4.png" ContentType="image/png"/>
  <Override PartName="/word/media/image9.png" ContentType="image/png"/>
  <Override PartName="/word/media/image14.png" ContentType="image/png"/>
  <Override PartName="/word/media/image5.png" ContentType="image/png"/>
  <Override PartName="/word/media/image15.png" ContentType="image/png"/>
  <Override PartName="/word/media/image6.png" ContentType="image/png"/>
  <Override PartName="/word/media/image10.png" ContentType="image/png"/>
  <Override PartName="/word/media/image1.png" ContentType="image/png"/>
  <Override PartName="/word/media/image16.png" ContentType="image/png"/>
  <Override PartName="/word/media/image7.png" ContentType="image/png"/>
  <Override PartName="/word/media/image11.png" ContentType="image/png"/>
  <Override PartName="/word/media/image2.png" ContentType="image/png"/>
  <Override PartName="/word/media/image8.png" ContentType="image/png"/>
  <Override PartName="/word/media/image12.png" ContentType="image/png"/>
  <Override PartName="/word/media/image3.png" ContentType="image/png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keepNext w:val="true"/>
        <w:keepLines/>
        <w:spacing w:before="480" w:after="240"/>
        <w:jc w:val="center"/>
        <w:rPr/>
      </w:pPr>
      <w:r>
        <w:rPr/>
        <w:t>Описание архитектуры</w:t>
      </w:r>
    </w:p>
    <w:p>
      <w:pPr>
        <w:pStyle w:val="Subtitle"/>
        <w:rPr/>
      </w:pPr>
      <w:r>
        <w:rPr/>
        <w:t>Планировщик отпусков 1.0.0 · Компоненты, данные, интерфейсы и безопасность</w:t>
      </w:r>
    </w:p>
    <w:p>
      <w:pPr>
        <w:pStyle w:val="Date"/>
        <w:rPr/>
      </w:pPr>
      <w:r>
        <w:rPr/>
        <w:t>30 октября 2026</w:t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Heading"/>
            <w:spacing w:lineRule="auto" w:line="259" w:before="240" w:after="120"/>
            <w:rPr>
              <w:rFonts w:ascii="Arial" w:hAnsi="Arial" w:eastAsia="Arial" w:cs="Arial"/>
              <w:b/>
              <w:bCs w:val="false"/>
              <w:color w:val="1D2433"/>
              <w:sz w:val="36"/>
            </w:rPr>
          </w:pPr>
          <w:r>
            <w:rPr>
              <w:rFonts w:eastAsia="Arial" w:cs="Arial"/>
              <w:b/>
              <w:bCs w:val="false"/>
              <w:color w:val="1D2433"/>
              <w:sz w:val="36"/>
            </w:rPr>
            <w:t>Содержание</w:t>
          </w:r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r>
            <w:fldChar w:fldCharType="begin"/>
          </w:r>
          <w:r>
            <w:rPr>
              <w:webHidden/>
              <w:rStyle w:val="IndexLink"/>
            </w:rPr>
            <w:instrText xml:space="preserve"> TOC \z \o "1-2" \u \h</w:instrText>
          </w:r>
          <w:r>
            <w:rPr>
              <w:webHidden/>
              <w:rStyle w:val="IndexLink"/>
            </w:rPr>
            <w:fldChar w:fldCharType="separate"/>
          </w:r>
          <w:hyperlink w:anchor="__RefHeading___Toc58546_1804324697">
            <w:r>
              <w:rPr>
                <w:webHidden/>
                <w:rStyle w:val="IndexLink"/>
              </w:rPr>
              <w:t>1 О документе</w:t>
              <w:tab/>
              <w:t>4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58548_1804324697">
            <w:r>
              <w:rPr>
                <w:webHidden/>
                <w:rStyle w:val="IndexLink"/>
              </w:rPr>
              <w:t>2 Общие сведения</w:t>
              <w:tab/>
              <w:t>5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58550_1804324697">
            <w:r>
              <w:rPr>
                <w:webHidden/>
                <w:rStyle w:val="IndexLink"/>
              </w:rPr>
              <w:t>2.1 Назначение и класс системы</w:t>
              <w:tab/>
              <w:t>5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58552_1804324697">
            <w:r>
              <w:rPr>
                <w:webHidden/>
                <w:rStyle w:val="IndexLink"/>
              </w:rPr>
              <w:t>2.2 Архитектурные принципы</w:t>
              <w:tab/>
              <w:t>5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58554_1804324697">
            <w:r>
              <w:rPr>
                <w:webHidden/>
                <w:rStyle w:val="IndexLink"/>
              </w:rPr>
              <w:t>2.3 Показатели кодовой базы</w:t>
              <w:tab/>
              <w:t>6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58556_1804324697">
            <w:r>
              <w:rPr>
                <w:webHidden/>
                <w:rStyle w:val="IndexLink"/>
              </w:rPr>
              <w:t>3 Контекст системы</w:t>
              <w:tab/>
              <w:t>8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58558_1804324697">
            <w:r>
              <w:rPr>
                <w:webHidden/>
                <w:rStyle w:val="IndexLink"/>
              </w:rPr>
              <w:t>4 Контейнеры и развёртывание</w:t>
              <w:tab/>
              <w:t>9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58560_1804324697">
            <w:r>
              <w:rPr>
                <w:webHidden/>
                <w:rStyle w:val="IndexLink"/>
              </w:rPr>
              <w:t>4.1 Состав контейнеров</w:t>
              <w:tab/>
              <w:t>9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58562_1804324697">
            <w:r>
              <w:rPr>
                <w:webHidden/>
                <w:rStyle w:val="IndexLink"/>
              </w:rPr>
              <w:t>4.2 Поставка и окружения</w:t>
              <w:tab/>
              <w:t>11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58564_1804324697">
            <w:r>
              <w:rPr>
                <w:webHidden/>
                <w:rStyle w:val="IndexLink"/>
              </w:rPr>
              <w:t>4.3 Требования к серверу и масштабирование</w:t>
              <w:tab/>
              <w:t>11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58566_1804324697">
            <w:r>
              <w:rPr>
                <w:webHidden/>
                <w:rStyle w:val="IndexLink"/>
              </w:rPr>
              <w:t>5 Серверная часть</w:t>
              <w:tab/>
              <w:t>14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58568_1804324697">
            <w:r>
              <w:rPr>
                <w:webHidden/>
                <w:rStyle w:val="IndexLink"/>
              </w:rPr>
              <w:t>5.1 Слои и компоненты</w:t>
              <w:tab/>
              <w:t>14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58570_1804324697">
            <w:r>
              <w:rPr>
                <w:webHidden/>
                <w:rStyle w:val="IndexLink"/>
              </w:rPr>
              <w:t>5.2 Ключевые сервисы</w:t>
              <w:tab/>
              <w:t>16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58572_1804324697">
            <w:r>
              <w:rPr>
                <w:webHidden/>
                <w:rStyle w:val="IndexLink"/>
              </w:rPr>
              <w:t>5.3 Обработка запроса</w:t>
              <w:tab/>
              <w:t>17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58574_1804324697">
            <w:r>
              <w:rPr>
                <w:webHidden/>
                <w:rStyle w:val="IndexLink"/>
              </w:rPr>
              <w:t>6 Клиентская часть</w:t>
              <w:tab/>
              <w:t>19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58576_1804324697">
            <w:r>
              <w:rPr>
                <w:webHidden/>
                <w:rStyle w:val="IndexLink"/>
              </w:rPr>
              <w:t>6.1 Живые обновления</w:t>
              <w:tab/>
              <w:t>21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58578_1804324697">
            <w:r>
              <w:rPr>
                <w:webHidden/>
                <w:rStyle w:val="IndexLink"/>
              </w:rPr>
              <w:t>7 Модель данных</w:t>
              <w:tab/>
              <w:t>22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58580_1804324697">
            <w:r>
              <w:rPr>
                <w:webHidden/>
                <w:rStyle w:val="IndexLink"/>
              </w:rPr>
              <w:t>7.1 Организация</w:t>
              <w:tab/>
              <w:t>23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58582_1804324697">
            <w:r>
              <w:rPr>
                <w:webHidden/>
                <w:rStyle w:val="IndexLink"/>
              </w:rPr>
              <w:t>7.2 Отпуска и режим работы</w:t>
              <w:tab/>
              <w:t>25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58584_1804324697">
            <w:r>
              <w:rPr>
                <w:webHidden/>
                <w:rStyle w:val="IndexLink"/>
              </w:rPr>
              <w:t>7.3 Кадровый учёт</w:t>
              <w:tab/>
              <w:t>26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58586_1804324697">
            <w:r>
              <w:rPr>
                <w:webHidden/>
                <w:rStyle w:val="IndexLink"/>
              </w:rPr>
              <w:t>7.4 Служебные данные</w:t>
              <w:tab/>
              <w:t>26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58588_1804324697">
            <w:r>
              <w:rPr>
                <w:webHidden/>
                <w:rStyle w:val="IndexLink"/>
              </w:rPr>
              <w:t>7.5 Целостность данных</w:t>
              <w:tab/>
              <w:t>26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58590_1804324697">
            <w:r>
              <w:rPr>
                <w:webHidden/>
                <w:rStyle w:val="IndexLink"/>
              </w:rPr>
              <w:t>7.6 Жизненный цикл заявки</w:t>
              <w:tab/>
              <w:t>28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58592_1804324697">
            <w:r>
              <w:rPr>
                <w:webHidden/>
                <w:rStyle w:val="IndexLink"/>
              </w:rPr>
              <w:t>8 Ключевые сценарии взаимодействия</w:t>
              <w:tab/>
              <w:t>29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58594_1804324697">
            <w:r>
              <w:rPr>
                <w:webHidden/>
                <w:rStyle w:val="IndexLink"/>
              </w:rPr>
              <w:t>8.1 Вход и продление сеанса</w:t>
              <w:tab/>
              <w:t>29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58596_1804324697">
            <w:r>
              <w:rPr>
                <w:webHidden/>
                <w:rStyle w:val="IndexLink"/>
              </w:rPr>
              <w:t>8.2 Подача заявки</w:t>
              <w:tab/>
              <w:t>30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58598_1804324697">
            <w:r>
              <w:rPr>
                <w:webHidden/>
                <w:rStyle w:val="IndexLink"/>
              </w:rPr>
              <w:t>8.3 Согласование и отклонение</w:t>
              <w:tab/>
              <w:t>31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58600_1804324697">
            <w:r>
              <w:rPr>
                <w:webHidden/>
                <w:rStyle w:val="IndexLink"/>
              </w:rPr>
              <w:t>8.4 Построение графика</w:t>
              <w:tab/>
              <w:t>32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58602_1804324697">
            <w:r>
              <w:rPr>
                <w:webHidden/>
                <w:rStyle w:val="IndexLink"/>
              </w:rPr>
              <w:t>9 Программные интерфейсы</w:t>
              <w:tab/>
              <w:t>33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58604_1804324697">
            <w:r>
              <w:rPr>
                <w:webHidden/>
                <w:rStyle w:val="IndexLink"/>
              </w:rPr>
              <w:t>9.1 Коды ошибок</w:t>
              <w:tab/>
              <w:t>40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58606_1804324697">
            <w:r>
              <w:rPr>
                <w:webHidden/>
                <w:rStyle w:val="IndexLink"/>
              </w:rPr>
              <w:t>10 Информационная безопасность</w:t>
              <w:tab/>
              <w:t>42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58608_1804324697">
            <w:r>
              <w:rPr>
                <w:webHidden/>
                <w:rStyle w:val="IndexLink"/>
              </w:rPr>
              <w:t>10.1 Аутентификация и сеансы</w:t>
              <w:tab/>
              <w:t>42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58610_1804324697">
            <w:r>
              <w:rPr>
                <w:webHidden/>
                <w:rStyle w:val="IndexLink"/>
              </w:rPr>
              <w:t>10.2 Защита запросов</w:t>
              <w:tab/>
              <w:t>43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58612_1804324697">
            <w:r>
              <w:rPr>
                <w:webHidden/>
                <w:rStyle w:val="IndexLink"/>
              </w:rPr>
              <w:t>10.3 Модель авторизации</w:t>
              <w:tab/>
              <w:t>44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58614_1804324697">
            <w:r>
              <w:rPr>
                <w:webHidden/>
                <w:rStyle w:val="IndexLink"/>
              </w:rPr>
              <w:t>10.4 Журналирование и аудит</w:t>
              <w:tab/>
              <w:t>45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58616_1804324697">
            <w:r>
              <w:rPr>
                <w:webHidden/>
                <w:rStyle w:val="IndexLink"/>
              </w:rPr>
              <w:t>10.5 Подтверждение мер защиты</w:t>
              <w:tab/>
              <w:t>46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58618_1804324697">
            <w:r>
              <w:rPr>
                <w:webHidden/>
                <w:rStyle w:val="IndexLink"/>
              </w:rPr>
              <w:t>10.6 Настраивает организация при развёртывании</w:t>
              <w:tab/>
              <w:t>46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58620_1804324697">
            <w:r>
              <w:rPr>
                <w:webHidden/>
                <w:rStyle w:val="IndexLink"/>
              </w:rPr>
              <w:t>11 Технологическая независимость</w:t>
              <w:tab/>
              <w:t>48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58622_1804324697">
            <w:r>
              <w:rPr>
                <w:webHidden/>
                <w:rStyle w:val="IndexLink"/>
              </w:rPr>
              <w:t>11.1 Сетевые взаимодействия</w:t>
              <w:tab/>
              <w:t>48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58624_1804324697">
            <w:r>
              <w:rPr>
                <w:webHidden/>
                <w:rStyle w:val="IndexLink"/>
              </w:rPr>
              <w:t>11.2 Образы и зависимости</w:t>
              <w:tab/>
              <w:t>49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58626_1804324697">
            <w:r>
              <w:rPr>
                <w:webHidden/>
                <w:rStyle w:val="IndexLink"/>
              </w:rPr>
              <w:t>11.3 Независимость процессов разработки</w:t>
              <w:tab/>
              <w:t>49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58628_1804324697">
            <w:r>
              <w:rPr>
                <w:webHidden/>
                <w:rStyle w:val="IndexLink"/>
              </w:rPr>
              <w:t>12 Наблюдаемость и эксплуатация</w:t>
              <w:tab/>
              <w:t>51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58630_1804324697">
            <w:r>
              <w:rPr>
                <w:webHidden/>
                <w:rStyle w:val="IndexLink"/>
              </w:rPr>
              <w:t>13 Технологический стек</w:t>
              <w:tab/>
              <w:t>52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58632_1804324697">
            <w:r>
              <w:rPr>
                <w:webHidden/>
                <w:rStyle w:val="IndexLink"/>
              </w:rPr>
              <w:t>14 Ключевые архитектурные решения</w:t>
              <w:tab/>
              <w:t>53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58634_1804324697">
            <w:r>
              <w:rPr>
                <w:webHidden/>
                <w:rStyle w:val="IndexLink"/>
              </w:rPr>
              <w:t>15 Направления развития архитектуры</w:t>
              <w:tab/>
              <w:t>54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58636_1804324697">
            <w:r>
              <w:rPr>
                <w:webHidden/>
                <w:rStyle w:val="IndexLink"/>
              </w:rPr>
              <w:t>16 Приложение А. Словарь данных</w:t>
              <w:tab/>
              <w:t>55</w:t>
            </w:r>
          </w:hyperlink>
          <w:r>
            <w:rPr>
              <w:rStyle w:val="IndexLink"/>
            </w:rPr>
            <w:fldChar w:fldCharType="end"/>
          </w:r>
        </w:p>
      </w:sdtContent>
    </w:sdt>
    <w:p>
      <w:pPr>
        <w:pStyle w:val="Heading1"/>
        <w:rPr/>
      </w:pPr>
      <w:bookmarkStart w:id="0" w:name="__RefHeading___Toc58546_1804324697"/>
      <w:bookmarkStart w:id="1" w:name="о-документе"/>
      <w:bookmarkEnd w:id="0"/>
      <w:r>
        <w:rPr>
          <w:rStyle w:val="SectionNumber"/>
        </w:rPr>
        <w:t>1</w:t>
      </w:r>
      <w:r>
        <w:rPr/>
        <w:tab/>
        <w:t>О документе</w:t>
      </w:r>
    </w:p>
    <w:p>
      <w:pPr>
        <w:pStyle w:val="FirstParagraph"/>
        <w:rPr/>
      </w:pPr>
      <w:r>
        <w:rPr/>
        <w:t>Документ описывает архитектуру программного обеспечения «Планировщик отпусков» версии 1.0.0: назначение и границы системы, состав компонентов и их взаимодействие, модель данных, программный интерфейс, механизмы информационной безопасности, развёртывание, технологическую независимость, наблюдаемость и используемые технологии. Документ входит в комплект, представляемый для включения программы в единый реестр российских программ для ЭВМ и баз данных (постановление Правительства РФ от 16.11.2015 № 1236), и предназначен для экспертов, архитекторов, инженеров сопровождения и службы информационной безопасности заказчика.</w:t>
      </w:r>
    </w:p>
    <w:p>
      <w:pPr>
        <w:pStyle w:val="BodyText"/>
        <w:rPr/>
      </w:pPr>
      <w:r>
        <w:rPr/>
        <w:t>Связанные документы комплекта:</w:t>
      </w:r>
    </w:p>
    <w:tbl>
      <w:tblPr>
        <w:tblStyle w:val="Table"/>
        <w:tblW w:w="5000" w:type="pct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4679"/>
        <w:gridCol w:w="4680"/>
      </w:tblGrid>
      <w:tr>
        <w:trPr>
          <w:tblHeader w:val="true"/>
        </w:trPr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Документ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Содержание</w:t>
            </w:r>
          </w:p>
        </w:tc>
      </w:tr>
      <w:tr>
        <w:trPr/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«Описание функциональных характеристик»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Что умеет система: функции, роли, сценарии</w:t>
            </w:r>
          </w:p>
        </w:tc>
      </w:tr>
      <w:tr>
        <w:trPr/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«Описание процессов жизненного цикла»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Разработка, тестирование, выпуск, устранение неисправностей, поддержка</w:t>
            </w:r>
          </w:p>
        </w:tc>
      </w:tr>
      <w:tr>
        <w:trPr/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«Инструкция для эксперта»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Доступ к стенду, установка, порядок проверки</w:t>
            </w:r>
          </w:p>
        </w:tc>
      </w:tr>
      <w:tr>
        <w:trPr/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«Руководство по развёртыванию»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Установка, настройка, обновление, резервное копирование, мониторинг</w:t>
            </w:r>
          </w:p>
        </w:tc>
      </w:tr>
      <w:tr>
        <w:trPr/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«Сторонние компоненты и лицензии»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Компоненты в поставке, включая программы в образах контейнеров, их лицензии и уведомления</w:t>
            </w:r>
          </w:p>
        </w:tc>
      </w:tr>
      <w:tr>
        <w:trPr/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«SBOM и лицензии» (документ 11),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docs/sbom/licenses-report.md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Состав сторонних компонентов и анализ их лицензий</w:t>
            </w:r>
          </w:p>
        </w:tc>
      </w:tr>
    </w:tbl>
    <w:p>
      <w:pPr>
        <w:pStyle w:val="BodyText"/>
        <w:rPr/>
      </w:pPr>
      <w:r>
        <w:rPr/>
        <w:t xml:space="preserve">Источники истины, на которых построен документ: контракт программного интерфейса </w:t>
      </w:r>
      <w:r>
        <w:rPr>
          <w:rStyle w:val="VerbatimChar"/>
        </w:rPr>
        <w:t>contracts/openapi-vacation-api-v1.yaml</w:t>
      </w:r>
      <w:r>
        <w:rPr/>
        <w:t xml:space="preserve"> (OpenAPI 3.1), схема данных </w:t>
      </w:r>
      <w:r>
        <w:rPr>
          <w:rStyle w:val="VerbatimChar"/>
        </w:rPr>
        <w:t>server/prisma/schema.prisma</w:t>
      </w:r>
      <w:r>
        <w:rPr/>
        <w:t xml:space="preserve">, исходный код ветки </w:t>
      </w:r>
      <w:r>
        <w:rPr>
          <w:rStyle w:val="VerbatimChar"/>
        </w:rPr>
        <w:t>v1.0.0</w:t>
      </w:r>
      <w:r>
        <w:rPr/>
        <w:t xml:space="preserve"> и записи архитектурных решений </w:t>
      </w:r>
      <w:r>
        <w:rPr>
          <w:rStyle w:val="VerbatimChar"/>
        </w:rPr>
        <w:t>docs/adr/</w:t>
      </w:r>
      <w:r>
        <w:rPr/>
        <w:t xml:space="preserve"> (ADR-001…ADR-017). Показатели кодовой базы, каталог операций API, каталог ошибок и словарь данных сформированы автоматически из контракта и кода скриптом </w:t>
      </w:r>
      <w:r>
        <w:rPr>
          <w:rStyle w:val="VerbatimChar"/>
        </w:rPr>
        <w:t>tools/docs/gen_tables.py</w:t>
      </w:r>
      <w:r>
        <w:rPr/>
        <w:t>, поэтому соответствуют поставляемой программе.</w:t>
      </w:r>
      <w:bookmarkEnd w:id="1"/>
    </w:p>
    <w:p>
      <w:pPr>
        <w:pStyle w:val="Heading1"/>
        <w:rPr/>
      </w:pPr>
      <w:bookmarkStart w:id="2" w:name="__RefHeading___Toc58548_1804324697"/>
      <w:bookmarkEnd w:id="2"/>
      <w:r>
        <w:rPr>
          <w:rStyle w:val="SectionNumber"/>
        </w:rPr>
        <w:t>2</w:t>
      </w:r>
      <w:r>
        <w:rPr/>
        <w:tab/>
        <w:t>Общие сведения</w:t>
      </w:r>
    </w:p>
    <w:p>
      <w:pPr>
        <w:pStyle w:val="Heading2"/>
        <w:rPr/>
      </w:pPr>
      <w:bookmarkStart w:id="3" w:name="__RefHeading___Toc58550_1804324697"/>
      <w:bookmarkStart w:id="4" w:name="назначение-и-класс-системы"/>
      <w:bookmarkEnd w:id="3"/>
      <w:r>
        <w:rPr>
          <w:rStyle w:val="SectionNumber"/>
        </w:rPr>
        <w:t>2.1</w:t>
      </w:r>
      <w:r>
        <w:rPr/>
        <w:tab/>
        <w:t>Назначение и класс системы</w:t>
      </w:r>
    </w:p>
    <w:p>
      <w:pPr>
        <w:pStyle w:val="FirstParagraph"/>
        <w:rPr/>
      </w:pPr>
      <w:r>
        <w:rPr/>
        <w:t>«Планировщик отпусков» — корпоративное веб-приложение для планирования и согласования ежегодных оплачиваемых отпусков. Оно ведёт график отпусков всей организации, заявки сотрудников с согласованием руководителем, балансы дней по нормам Трудового кодекса РФ, режим работы «офис / удалёнка», аналитику пересечений отпусков внутри отделов и неизменяемый журнал изменений. Кадровый цикл по ТК РФ поддерживается целиком: кампания планирования на год, утверждение графика и выгрузка по унифицированной форме Т-7, извещение о начале отпуска за две недели с ознакомлением сотрудника, замещение руководителя и эскалация заявок без решения.</w:t>
      </w:r>
    </w:p>
    <w:p>
      <w:pPr>
        <w:pStyle w:val="BodyText"/>
        <w:rPr/>
      </w:pPr>
      <w:r>
        <w:rPr/>
        <w:t xml:space="preserve">По архитектурному типу это </w:t>
      </w:r>
      <w:r>
        <w:rPr>
          <w:b/>
          <w:bCs/>
        </w:rPr>
        <w:t>клиент-серверное веб-приложение</w:t>
      </w:r>
      <w:r>
        <w:rPr/>
        <w:t>: одностраничный клиент (SPA) и REST API, устанавливаемые на серверы организации (on-premise) в контейнерах Docker. Версия 1.0.0 рассчитана на организации от 1000 до 2000 сотрудников; запас по масштабу подтверждён нагрузочными прогонами на 5000 сотрудников в базе (раздел «Требования к серверу и масштабирование»).</w:t>
      </w:r>
    </w:p>
    <w:p>
      <w:pPr>
        <w:pStyle w:val="CaptionedFigure"/>
        <w:rPr/>
      </w:pPr>
      <w:r>
        <w:rPr/>
        <w:drawing>
          <wp:inline distT="0" distB="0" distL="0" distR="0">
            <wp:extent cx="5334000" cy="2661920"/>
            <wp:effectExtent l="0" t="0" r="0" b="0"/>
            <wp:docPr id="1" name="Picture" descr="Роли и их возможност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" descr="Роли и их возможности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1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bookmarkStart w:id="5" w:name="назначение-и-класс-системы"/>
      <w:r>
        <w:rPr/>
        <w:t>Роли и их возможности</w:t>
      </w:r>
      <w:bookmarkEnd w:id="5"/>
    </w:p>
    <w:p>
      <w:pPr>
        <w:pStyle w:val="Heading2"/>
        <w:rPr/>
      </w:pPr>
      <w:bookmarkStart w:id="6" w:name="__RefHeading___Toc58552_1804324697"/>
      <w:bookmarkEnd w:id="6"/>
      <w:r>
        <w:rPr>
          <w:rStyle w:val="SectionNumber"/>
        </w:rPr>
        <w:t>2.2</w:t>
      </w:r>
      <w:r>
        <w:rPr/>
        <w:tab/>
        <w:t>Архитектурные принципы</w:t>
      </w:r>
    </w:p>
    <w:tbl>
      <w:tblPr>
        <w:tblStyle w:val="Table"/>
        <w:tblW w:w="5000" w:type="pct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4679"/>
        <w:gridCol w:w="4680"/>
      </w:tblGrid>
      <w:tr>
        <w:trPr>
          <w:tblHeader w:val="true"/>
        </w:trPr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Принцип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Как реализован</w:t>
            </w:r>
          </w:p>
        </w:tc>
      </w:tr>
      <w:tr>
        <w:trPr/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Сервер решает, клиент показывает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Правила — конечный автомат заявки, балансы, лимиты, права, конфликты — реализованы только в серверных сервисах. Проверки в клиенте — подсказки для удобства, а не защита</w:t>
            </w:r>
          </w:p>
        </w:tc>
      </w:tr>
      <w:tr>
        <w:trPr/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Контракт прежде кода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REST API v1 описан в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contracts/openapi-vacation-api-v1.yaml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 и меняется только через ревью владельца; тест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server/test/contract.e2e.test.ts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 в CI не даёт реализации и контракту разойтись</w:t>
            </w:r>
          </w:p>
        </w:tc>
      </w:tr>
      <w:tr>
        <w:trPr/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Одна операция — одна транзакция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Изменение данных, событие истории заявки, запись журнала аудита, уведомление и письмо в очереди фиксируются в одной транзакции PostgreSQL (ADR-006)</w:t>
            </w:r>
          </w:p>
        </w:tc>
      </w:tr>
      <w:tr>
        <w:trPr/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Чистые вычисления отдельно от ввода-вывода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Баланс (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requests/balance.ts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>), аналитика пересечений (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analytics/coverage.ts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>), план импорта (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imports/plan.ts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>) — модули без обращений к БД и без «текущего времени»: дата расчёта передаётся аргументом, модули покрыты модульными тестами</w:t>
            </w:r>
          </w:p>
        </w:tc>
      </w:tr>
      <w:tr>
        <w:trPr/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Единое хранилище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Все данные и всё общее состояние процессов сервера (окна лимита входа, версия данных графика, очередь писем, отметки плановых задач, сеансы) хранятся в PostgreSQL; отдельные хранилища и брокеры сообщений не нужны (ADR-012)</w:t>
            </w:r>
          </w:p>
        </w:tc>
      </w:tr>
      <w:tr>
        <w:trPr/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Сервер без состояния сеанса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Access-токен — JWT, refresh-токены — в таблице PostgreSQL: сервер масштабируется процессами и экземплярами без «липких» сессий</w:t>
            </w:r>
          </w:p>
        </w:tc>
      </w:tr>
      <w:tr>
        <w:trPr/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Технологическая независимость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Только свободные компоненты под разрешительными лицензиями; программа не обращается к внешним сервисам, кроме настроенных организацией почтового релея и провайдера единого входа; работает в закрытом контуре (раздел «Технологическая независимость»)</w:t>
            </w:r>
          </w:p>
        </w:tc>
      </w:tr>
      <w:tr>
        <w:trPr/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Зависимости под контролем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Каждая новая библиотека обосновывается в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docs/decisions.md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 и проходит лицензионный гейт SBOM: copyleft-лицензии и неопределённые лицензии блокируют слияние</w:t>
            </w:r>
          </w:p>
        </w:tc>
      </w:tr>
      <w:tr>
        <w:trPr/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Секреты — только в окружении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Пароли и ключи рабочего контура задаются переменными окружения (файл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.env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 вне системы контроля версий); сервер не стартует, если секрет подписи токенов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JWT_SECRET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 не задан или короче 32 символов</w:t>
            </w:r>
          </w:p>
        </w:tc>
      </w:tr>
      <w:tr>
        <w:trPr/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Решения документируются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Записи архитектурных решений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docs/adr/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 (17 записей: контекст, решение, альтернативы, последствия, критерии пересмотра)</w:t>
            </w:r>
          </w:p>
        </w:tc>
      </w:tr>
      <w:tr>
        <w:trPr/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Наблюдаемость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Структурированный журнал в формате JSON со сквозным идентификатором запроса, метрики Prometheus, правила оповещений и регламент диагностики</w:t>
            </w:r>
            <w:bookmarkStart w:id="7" w:name="архитектурные-принципы"/>
            <w:bookmarkEnd w:id="7"/>
          </w:p>
        </w:tc>
      </w:tr>
    </w:tbl>
    <w:p>
      <w:pPr>
        <w:pStyle w:val="Heading2"/>
        <w:rPr/>
      </w:pPr>
      <w:bookmarkStart w:id="8" w:name="__RefHeading___Toc58554_1804324697"/>
      <w:bookmarkEnd w:id="8"/>
      <w:r>
        <w:rPr>
          <w:rStyle w:val="SectionNumber"/>
        </w:rPr>
        <w:t>2.3</w:t>
      </w:r>
      <w:r>
        <w:rPr/>
        <w:tab/>
        <w:t>Показатели кодовой базы</w:t>
      </w:r>
    </w:p>
    <w:tbl>
      <w:tblPr>
        <w:tblStyle w:val="Table"/>
        <w:tblW w:w="7920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960"/>
        <w:gridCol w:w="3959"/>
      </w:tblGrid>
      <w:tr>
        <w:trPr>
          <w:tblHeader w:val="true"/>
        </w:trPr>
        <w:tc>
          <w:tcPr>
            <w:tcW w:w="3960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Показатель</w:t>
            </w:r>
          </w:p>
        </w:tc>
        <w:tc>
          <w:tcPr>
            <w:tcW w:w="3959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Значение</w:t>
            </w:r>
          </w:p>
        </w:tc>
      </w:tr>
      <w:tr>
        <w:trPr/>
        <w:tc>
          <w:tcPr>
            <w:tcW w:w="396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Сервер: файлов TypeScript / строк</w:t>
            </w:r>
          </w:p>
        </w:tc>
        <w:tc>
          <w:tcPr>
            <w:tcW w:w="395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85 / 8 283</w:t>
            </w:r>
          </w:p>
        </w:tc>
      </w:tr>
      <w:tr>
        <w:trPr/>
        <w:tc>
          <w:tcPr>
            <w:tcW w:w="396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Сервер: контроллеров / операций API</w:t>
            </w:r>
          </w:p>
        </w:tc>
        <w:tc>
          <w:tcPr>
            <w:tcW w:w="395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20 / 83</w:t>
            </w:r>
          </w:p>
        </w:tc>
      </w:tr>
      <w:tr>
        <w:trPr/>
        <w:tc>
          <w:tcPr>
            <w:tcW w:w="396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Модель данных: таблиц / миграций</w:t>
            </w:r>
          </w:p>
        </w:tc>
        <w:tc>
          <w:tcPr>
            <w:tcW w:w="395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24 / 12</w:t>
            </w:r>
          </w:p>
        </w:tc>
      </w:tr>
      <w:tr>
        <w:trPr/>
        <w:tc>
          <w:tcPr>
            <w:tcW w:w="396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Клиент: файлов TS и Vue / строк</w:t>
            </w:r>
          </w:p>
        </w:tc>
        <w:tc>
          <w:tcPr>
            <w:tcW w:w="395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50 / 14 502</w:t>
            </w:r>
          </w:p>
        </w:tc>
      </w:tr>
      <w:tr>
        <w:trPr/>
        <w:tc>
          <w:tcPr>
            <w:tcW w:w="396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Клиент: экранов</w:t>
            </w:r>
          </w:p>
        </w:tc>
        <w:tc>
          <w:tcPr>
            <w:tcW w:w="395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13</w:t>
            </w:r>
          </w:p>
        </w:tc>
      </w:tr>
      <w:tr>
        <w:trPr/>
        <w:tc>
          <w:tcPr>
            <w:tcW w:w="396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Тесты сервера: файлов / сценариев</w:t>
            </w:r>
          </w:p>
        </w:tc>
        <w:tc>
          <w:tcPr>
            <w:tcW w:w="395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28 / 222</w:t>
            </w:r>
          </w:p>
        </w:tc>
      </w:tr>
      <w:tr>
        <w:trPr/>
        <w:tc>
          <w:tcPr>
            <w:tcW w:w="396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Тесты клиента (модульные и e2e): файлов / сценариев</w:t>
            </w:r>
          </w:p>
        </w:tc>
        <w:tc>
          <w:tcPr>
            <w:tcW w:w="395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11 / 53</w:t>
            </w:r>
          </w:p>
        </w:tc>
      </w:tr>
    </w:tbl>
    <w:p>
      <w:pPr>
        <w:pStyle w:val="Normal"/>
        <w:rPr/>
      </w:pPr>
      <w:r>
        <w:rPr/>
      </w:r>
    </w:p>
    <w:tbl>
      <w:tblPr>
        <w:tblStyle w:val="Table"/>
        <w:tblW w:w="5000" w:type="pct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4679"/>
        <w:gridCol w:w="4680"/>
      </w:tblGrid>
      <w:tr>
        <w:trPr>
          <w:tblHeader w:val="true"/>
        </w:trPr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Показатель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Значение</w:t>
            </w:r>
          </w:p>
        </w:tc>
      </w:tr>
      <w:tr>
        <w:trPr/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Модулей сервера (каталогов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server/src/&lt;домен&gt;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>)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20</w:t>
            </w:r>
          </w:p>
        </w:tc>
      </w:tr>
      <w:tr>
        <w:trPr/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Хранилищ состояния клиента (Pinia)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6</w:t>
            </w:r>
          </w:p>
        </w:tc>
      </w:tr>
      <w:tr>
        <w:trPr/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Записей архитектурных решений (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docs/adr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>)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17, из них 2 заменены последующими (ADR-004 → ADR-010, ADR-007 → ADR-011)</w:t>
            </w:r>
          </w:p>
        </w:tc>
      </w:tr>
      <w:tr>
        <w:trPr/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Правил оповещений мониторинга (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deploy/monitoring/alerts.yml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>)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15</w:t>
            </w:r>
            <w:bookmarkStart w:id="9" w:name="общие-сведения"/>
            <w:bookmarkEnd w:id="9"/>
          </w:p>
        </w:tc>
      </w:tr>
    </w:tbl>
    <w:p>
      <w:pPr>
        <w:pStyle w:val="Heading1"/>
        <w:rPr/>
      </w:pPr>
      <w:bookmarkStart w:id="10" w:name="__RefHeading___Toc58556_1804324697"/>
      <w:bookmarkEnd w:id="10"/>
      <w:r>
        <w:rPr>
          <w:rStyle w:val="SectionNumber"/>
        </w:rPr>
        <w:t>3</w:t>
      </w:r>
      <w:r>
        <w:rPr/>
        <w:tab/>
        <w:t>Контекст системы</w:t>
      </w:r>
    </w:p>
    <w:p>
      <w:pPr>
        <w:pStyle w:val="FirstParagraph"/>
        <w:rPr/>
      </w:pPr>
      <w:r>
        <w:rPr/>
        <w:t>Пользователи работают с системой через веб-браузер по HTTPS. Внешние системы организации подключаются по стандартным протоколам и только по решению организации: SMTP, OpenID Connect, файлы выгрузки и HTTP API импорта.</w:t>
      </w:r>
    </w:p>
    <w:p>
      <w:pPr>
        <w:pStyle w:val="CaptionedFigure"/>
        <w:rPr/>
      </w:pPr>
      <w:r>
        <w:rPr/>
        <w:drawing>
          <wp:inline distT="0" distB="0" distL="0" distR="0">
            <wp:extent cx="5334000" cy="1762125"/>
            <wp:effectExtent l="0" t="0" r="0" b="0"/>
            <wp:docPr id="2" name="Image2" descr="Диаграмма контекста (уровень 1 C4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Диаграмма контекста (уровень 1 C4)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6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r>
        <w:rPr/>
        <w:t>Диаграмма контекста (уровень 1 C4)</w:t>
      </w:r>
    </w:p>
    <w:tbl>
      <w:tblPr>
        <w:tblStyle w:val="Table"/>
        <w:tblW w:w="5000" w:type="pct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4679"/>
        <w:gridCol w:w="4680"/>
      </w:tblGrid>
      <w:tr>
        <w:trPr>
          <w:tblHeader w:val="true"/>
        </w:trPr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Участник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Взаимодействие</w:t>
            </w:r>
          </w:p>
        </w:tc>
      </w:tr>
      <w:tr>
        <w:trPr/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Сотрудник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Планирует отпуск, подаёт, переносит и отменяет заявки, видит график отдела и свой режим работы, подтверждает ознакомление с извещением</w:t>
            </w:r>
          </w:p>
        </w:tc>
      </w:tr>
      <w:tr>
        <w:trPr/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Руководитель, заместитель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Согласует заявки подчинённых, видит пересечения и аналитику отдела, ведёт режим работы команды, передаёт согласование заместителю на период</w:t>
            </w:r>
          </w:p>
        </w:tc>
      </w:tr>
      <w:tr>
        <w:trPr/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Кадровая служба, администратор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Сотрудники и импорт, справочники, производственный календарь, правила организации, кампания планирования и форма Т-7, журналы извещений, аудита и входов</w:t>
            </w:r>
          </w:p>
        </w:tc>
      </w:tr>
      <w:tr>
        <w:trPr/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Почтовый релей организации (необязательно)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Принимает письма о заявках, решениях, извещениях и еженедельные сводки по SMTP; без настройки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SMTP_HOST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 уведомления остаются только в интерфейсе</w:t>
            </w:r>
          </w:p>
        </w:tc>
      </w:tr>
      <w:tr>
        <w:trPr/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Провайдер единого входа (необязательно)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OpenID Connect: Keycloak, ADFS, Blitz Identity Provider и другие; без настройки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OIDC_ISSUER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 вход только по паролю</w:t>
            </w:r>
          </w:p>
        </w:tc>
      </w:tr>
      <w:tr>
        <w:trPr/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Кадровая система организации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Выгрузки сотрудников и остатков отпусков в XLSX/CSV загружает кадровая служба; скрипт интеграции может передавать те же данные в JSON через операцию импорта с предпросмотром</w:t>
            </w:r>
          </w:p>
        </w:tc>
      </w:tr>
      <w:tr>
        <w:trPr/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Мониторинг организации (необязательно)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Опрашивает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/healthz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 и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/readyz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, собирает метрики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/metrics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 по внутренней сети стенда</w:t>
            </w:r>
          </w:p>
        </w:tc>
      </w:tr>
      <w:tr>
        <w:trPr/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Хранилище резервных копий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Получает копии из томов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db-backups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 и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wal-archive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 средствами организации</w:t>
            </w:r>
          </w:p>
        </w:tc>
      </w:tr>
    </w:tbl>
    <w:p>
      <w:pPr>
        <w:pStyle w:val="BodyText"/>
        <w:rPr/>
      </w:pPr>
      <w:r>
        <w:rPr/>
        <w:t>Работа системы не требует доступа в интернет; данные организации за пределы её контура не передаются (раздел «Технологическая независимость»).</w:t>
      </w:r>
    </w:p>
    <w:p>
      <w:pPr>
        <w:pStyle w:val="Heading1"/>
        <w:rPr/>
      </w:pPr>
      <w:bookmarkStart w:id="11" w:name="__RefHeading___Toc58558_1804324697"/>
      <w:bookmarkEnd w:id="11"/>
      <w:r>
        <w:rPr>
          <w:rStyle w:val="SectionNumber"/>
        </w:rPr>
        <w:t>4</w:t>
      </w:r>
      <w:r>
        <w:rPr/>
        <w:tab/>
        <w:t>Контейнеры и развёртывание</w:t>
      </w:r>
    </w:p>
    <w:p>
      <w:pPr>
        <w:pStyle w:val="Heading2"/>
        <w:rPr/>
      </w:pPr>
      <w:bookmarkStart w:id="12" w:name="__RefHeading___Toc58560_1804324697"/>
      <w:bookmarkStart w:id="13" w:name="состав-контейнеров"/>
      <w:bookmarkEnd w:id="12"/>
      <w:r>
        <w:rPr>
          <w:rStyle w:val="SectionNumber"/>
        </w:rPr>
        <w:t>4.1</w:t>
      </w:r>
      <w:r>
        <w:rPr/>
        <w:tab/>
        <w:t>Состав контейнеров</w:t>
      </w:r>
    </w:p>
    <w:p>
      <w:pPr>
        <w:pStyle w:val="CaptionedFigure"/>
        <w:rPr/>
      </w:pPr>
      <w:r>
        <w:rPr/>
        <w:drawing>
          <wp:inline distT="0" distB="0" distL="0" distR="0">
            <wp:extent cx="5334000" cy="4942840"/>
            <wp:effectExtent l="0" t="0" r="0" b="0"/>
            <wp:docPr id="3" name="Image3" descr="Диаграмма контейнеров (уровень 2 C4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Диаграмма контейнеров (уровень 2 C4)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942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r>
        <w:rPr/>
        <w:t>Диаграмма контейнеров (уровень 2 C4)</w:t>
      </w:r>
    </w:p>
    <w:tbl>
      <w:tblPr>
        <w:tblStyle w:val="Table"/>
        <w:tblW w:w="5000" w:type="pct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Контейнер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Образ / технологии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Ответственность</w:t>
            </w:r>
          </w:p>
        </w:tc>
      </w:tr>
      <w:tr>
        <w:trPr/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web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nginx 1.27 Alpine; статическая сборка Vite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Отдача SPA с Content Security Policy и заголовками безопасности; кеширование хешированных ресурсов на год,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index.html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 без кеша; проксирование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/api/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 на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server:8080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 с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X-Forwarded-For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 и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X-Request-Id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; поток событий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/api/v1/events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 без буферизации; адрес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server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 разрешается заново каждые 10 секунд;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worker_connections 16384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 для открытых потоков событий</w:t>
            </w:r>
          </w:p>
        </w:tc>
      </w:tr>
      <w:tr>
        <w:trPr/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server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Node.js 22 Alpine, NestJS 11, Prisma 6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REST API v1, бизнес-логика, поток событий (SSE), плановые задачи, метрики; кластер из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WEB_CONCURRENCY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 процессов (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auto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 — по числу ядер, не больше 32); миграции схемы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prisma migrate deploy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 при старте контейнера; штатное завершение по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SIGTERM</w:t>
            </w:r>
          </w:p>
        </w:tc>
      </w:tr>
      <w:tr>
        <w:trPr/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postgres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PostgreSQL 17 Alpine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Все данные приложения; модуль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pg_stat_statements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 и журнал медленных запросов (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PG_SLOW_MS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, по умолчанию 1000 мс); том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db-data</w:t>
            </w:r>
          </w:p>
        </w:tc>
      </w:tr>
      <w:tr>
        <w:trPr/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backup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postgres:17-alpine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pg_dump -Fc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 раз в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BACKUP_INTERVAL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 секунд (по умолчанию сутки), хранение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BACKUP_KEEP_DAYS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 дней (по умолчанию 14); запись через временный файл — в томе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db-backups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 нет оборванных копий</w:t>
            </w:r>
          </w:p>
        </w:tc>
      </w:tr>
      <w:tr>
        <w:trPr/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postgres-replica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PostgreSQL 17 Alpine (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docker-compose.replica.yml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>)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Горячий резерв: асинхронная потоковая репликация по слоту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replica1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>, только чтение; при аварии повышается до основного</w:t>
            </w:r>
          </w:p>
        </w:tc>
      </w:tr>
      <w:tr>
        <w:trPr/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basebackup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postgres:17-alpine (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docker-compose.replica.yml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>)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Ежедневные физические копии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pg_basebackup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 (хранятся 7) и очистка архива WAL — восстановление на момент времени</w:t>
            </w:r>
          </w:p>
        </w:tc>
      </w:tr>
      <w:tr>
        <w:trPr/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prometheus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Prometheus 3.5 (профиль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monitoring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>)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Сбор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/metrics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 и правила оповещений; слушает только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127.0.0.1:9090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>; панель Grafana поставляется файлом для импорта в Grafana организации</w:t>
            </w:r>
          </w:p>
        </w:tc>
      </w:tr>
      <w:tr>
        <w:trPr/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Обратный прокси (вне compose)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nginx или Caddy организации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Терминирование TLS на порту 443, перенаправление на HTTPS, HSTS; передача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X-Forwarded-For</w:t>
            </w:r>
          </w:p>
        </w:tc>
      </w:tr>
    </w:tbl>
    <w:p>
      <w:pPr>
        <w:pStyle w:val="BodyText"/>
        <w:rPr/>
      </w:pPr>
      <w:r>
        <w:rPr/>
        <w:t xml:space="preserve">Стенд описывается файлом </w:t>
      </w:r>
      <w:r>
        <w:rPr>
          <w:rStyle w:val="VerbatimChar"/>
        </w:rPr>
        <w:t>docker-compose.yml</w:t>
      </w:r>
      <w:r>
        <w:rPr/>
        <w:t xml:space="preserve">: профиль </w:t>
      </w:r>
      <w:r>
        <w:rPr>
          <w:rStyle w:val="VerbatimChar"/>
        </w:rPr>
        <w:t>full</w:t>
      </w:r>
      <w:r>
        <w:rPr/>
        <w:t xml:space="preserve"> — </w:t>
      </w:r>
      <w:r>
        <w:rPr>
          <w:rStyle w:val="VerbatimChar"/>
        </w:rPr>
        <w:t>server</w:t>
      </w:r>
      <w:r>
        <w:rPr/>
        <w:t xml:space="preserve">, </w:t>
      </w:r>
      <w:r>
        <w:rPr>
          <w:rStyle w:val="VerbatimChar"/>
        </w:rPr>
        <w:t>web</w:t>
      </w:r>
      <w:r>
        <w:rPr/>
        <w:t xml:space="preserve">, </w:t>
      </w:r>
      <w:r>
        <w:rPr>
          <w:rStyle w:val="VerbatimChar"/>
        </w:rPr>
        <w:t>backup</w:t>
      </w:r>
      <w:r>
        <w:rPr/>
        <w:t xml:space="preserve">; профиль </w:t>
      </w:r>
      <w:r>
        <w:rPr>
          <w:rStyle w:val="VerbatimChar"/>
        </w:rPr>
        <w:t>monitoring</w:t>
      </w:r>
      <w:r>
        <w:rPr/>
        <w:t xml:space="preserve"> — Prometheus; дополнение </w:t>
      </w:r>
      <w:r>
        <w:rPr>
          <w:rStyle w:val="VerbatimChar"/>
        </w:rPr>
        <w:t>docker-compose.replica.yml</w:t>
      </w:r>
      <w:r>
        <w:rPr/>
        <w:t xml:space="preserve"> — реплика, архив WAL и физические копии. Тома Docker: </w:t>
      </w:r>
      <w:r>
        <w:rPr>
          <w:rStyle w:val="VerbatimChar"/>
        </w:rPr>
        <w:t>db-data</w:t>
      </w:r>
      <w:r>
        <w:rPr/>
        <w:t xml:space="preserve"> (файлы PostgreSQL), </w:t>
      </w:r>
      <w:r>
        <w:rPr>
          <w:rStyle w:val="VerbatimChar"/>
        </w:rPr>
        <w:t>db-backups</w:t>
      </w:r>
      <w:r>
        <w:rPr/>
        <w:t xml:space="preserve"> (логические копии), </w:t>
      </w:r>
      <w:r>
        <w:rPr>
          <w:rStyle w:val="VerbatimChar"/>
        </w:rPr>
        <w:t>db-replica</w:t>
      </w:r>
      <w:r>
        <w:rPr/>
        <w:t xml:space="preserve"> и </w:t>
      </w:r>
      <w:r>
        <w:rPr>
          <w:rStyle w:val="VerbatimChar"/>
        </w:rPr>
        <w:t>wal-archive</w:t>
      </w:r>
      <w:r>
        <w:rPr/>
        <w:t xml:space="preserve"> (реплика и архив WAL), </w:t>
      </w:r>
      <w:r>
        <w:rPr>
          <w:rStyle w:val="VerbatimChar"/>
        </w:rPr>
        <w:t>prometheus-data</w:t>
      </w:r>
      <w:r>
        <w:rPr/>
        <w:t>.</w:t>
      </w:r>
    </w:p>
    <w:p>
      <w:pPr>
        <w:pStyle w:val="BodyText"/>
        <w:rPr/>
      </w:pPr>
      <w:r>
        <w:rPr/>
        <w:t xml:space="preserve">Наружу публикуется порт 80 контейнера </w:t>
      </w:r>
      <w:r>
        <w:rPr>
          <w:rStyle w:val="VerbatimChar"/>
        </w:rPr>
        <w:t>web</w:t>
      </w:r>
      <w:r>
        <w:rPr/>
        <w:t xml:space="preserve">; порт API 8080 не публикуется, поэтому служебные адреса </w:t>
      </w:r>
      <w:r>
        <w:rPr>
          <w:rStyle w:val="VerbatimChar"/>
        </w:rPr>
        <w:t>/healthz</w:t>
      </w:r>
      <w:r>
        <w:rPr/>
        <w:t xml:space="preserve">, </w:t>
      </w:r>
      <w:r>
        <w:rPr>
          <w:rStyle w:val="VerbatimChar"/>
        </w:rPr>
        <w:t>/readyz</w:t>
      </w:r>
      <w:r>
        <w:rPr/>
        <w:t xml:space="preserve"> и </w:t>
      </w:r>
      <w:r>
        <w:rPr>
          <w:rStyle w:val="VerbatimChar"/>
        </w:rPr>
        <w:t>/metrics</w:t>
      </w:r>
      <w:r>
        <w:rPr/>
        <w:t xml:space="preserve"> доступны только из внутренней сети стенда — nginx проксирует наружу лишь </w:t>
      </w:r>
      <w:r>
        <w:rPr>
          <w:rStyle w:val="VerbatimChar"/>
        </w:rPr>
        <w:t>/api/</w:t>
      </w:r>
      <w:r>
        <w:rPr/>
        <w:t>. Порт PostgreSQL 5432 опубликован только на локальном интерфейсе узла (</w:t>
      </w:r>
      <w:r>
        <w:rPr>
          <w:rStyle w:val="VerbatimChar"/>
        </w:rPr>
        <w:t>127.0.0.1</w:t>
      </w:r>
      <w:r>
        <w:rPr/>
        <w:t>) — для резервного копирования и диагностики с самого сервера; из сети организации БД недоступна.</w:t>
      </w:r>
      <w:bookmarkEnd w:id="13"/>
    </w:p>
    <w:p>
      <w:pPr>
        <w:pStyle w:val="Heading2"/>
        <w:rPr/>
      </w:pPr>
      <w:bookmarkStart w:id="14" w:name="__RefHeading___Toc58562_1804324697"/>
      <w:bookmarkEnd w:id="14"/>
      <w:r>
        <w:rPr>
          <w:rStyle w:val="SectionNumber"/>
        </w:rPr>
        <w:t>4.2</w:t>
      </w:r>
      <w:r>
        <w:rPr/>
        <w:tab/>
        <w:t>Поставка и окружения</w:t>
      </w:r>
    </w:p>
    <w:p>
      <w:pPr>
        <w:pStyle w:val="CaptionedFigure"/>
        <w:rPr/>
      </w:pPr>
      <w:r>
        <w:rPr/>
        <w:drawing>
          <wp:inline distT="0" distB="0" distL="0" distR="0">
            <wp:extent cx="5334000" cy="1310005"/>
            <wp:effectExtent l="0" t="0" r="0" b="0"/>
            <wp:docPr id="4" name="Image4" descr="Поставка: от рабочего места до стенд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 descr="Поставка: от рабочего места до стенда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10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r>
        <w:rPr/>
        <w:t>Поставка: от рабочего места до стенда</w:t>
      </w:r>
    </w:p>
    <w:p>
      <w:pPr>
        <w:pStyle w:val="BodyText"/>
        <w:rPr/>
      </w:pPr>
      <w:r>
        <w:rPr/>
        <w:t xml:space="preserve">Исходные тексты ведутся в двух репозиториях-зеркалах: GitHub и Gitea организации. Оба запускают основной набор автоматических проверок — тесты сервера на PostgreSQL, проверку обновления на данных, тесты и сборку клиента, e2e интерфейса, SBOM и лицензионный гейт; в GitHub дополнительно проверяются сборка образов, дымовой прогон стенда и переключение на реплику, а в Gitea после успешных проверок раннер </w:t>
      </w:r>
      <w:r>
        <w:rPr>
          <w:rStyle w:val="VerbatimChar"/>
        </w:rPr>
        <w:t>deploy</w:t>
      </w:r>
      <w:r>
        <w:rPr/>
        <w:t xml:space="preserve"> разворачивает стенд (</w:t>
      </w:r>
      <w:r>
        <w:rPr>
          <w:rStyle w:val="VerbatimChar"/>
        </w:rPr>
        <w:t>docker compose -p vacation-planner --profile full up -d --build</w:t>
      </w:r>
      <w:r>
        <w:rPr/>
        <w:t>) и выполняет дымовые пробы. Порядок разработки и выпуска описан в «Описании процессов жизненного цикла».</w:t>
      </w:r>
    </w:p>
    <w:tbl>
      <w:tblPr>
        <w:tblStyle w:val="Table"/>
        <w:tblW w:w="5000" w:type="pct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Окружение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Назначение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Данные</w:t>
            </w:r>
          </w:p>
        </w:tc>
      </w:tr>
      <w:tr>
        <w:trPr/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Локальное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Разработка и отладка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Демонстрационные данные (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make seed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>: 131 сотрудник, 14 отделов)</w:t>
            </w:r>
          </w:p>
        </w:tc>
      </w:tr>
      <w:tr>
        <w:trPr/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CI (GitHub Actions, Gitea Actions)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Проверка каждого изменения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Тестовая БД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vacation_test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>, демонстрационные данные для e2e интерфейса</w:t>
            </w:r>
          </w:p>
        </w:tc>
      </w:tr>
      <w:tr>
        <w:trPr/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Стенд Gitea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Демонстрация и приёмка версии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Том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db-data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 стенда</w:t>
            </w:r>
          </w:p>
        </w:tc>
      </w:tr>
      <w:tr>
        <w:trPr/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Рабочий контур организации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Эксплуатация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Рабочая БД и резервные копии</w:t>
            </w:r>
            <w:bookmarkStart w:id="15" w:name="поставка-и-окружения"/>
            <w:bookmarkEnd w:id="15"/>
          </w:p>
        </w:tc>
      </w:tr>
    </w:tbl>
    <w:p>
      <w:pPr>
        <w:pStyle w:val="Heading2"/>
        <w:rPr/>
      </w:pPr>
      <w:bookmarkStart w:id="16" w:name="__RefHeading___Toc58564_1804324697"/>
      <w:bookmarkEnd w:id="16"/>
      <w:r>
        <w:rPr>
          <w:rStyle w:val="SectionNumber"/>
        </w:rPr>
        <w:t>4.3</w:t>
      </w:r>
      <w:r>
        <w:rPr/>
        <w:tab/>
        <w:t>Требования к серверу и масштабирование</w:t>
      </w:r>
    </w:p>
    <w:p>
      <w:pPr>
        <w:pStyle w:val="FirstParagraph"/>
        <w:rPr/>
      </w:pPr>
      <w:r>
        <w:rPr/>
        <w:t xml:space="preserve">Серверная часть работает в контейнерах Docker на 64-битном Linux (x86-64) с Docker Engine 24+ и Docker Compose v2. Клиент — две последние версии Chrome, Edge, Firefox или Safari, на телефонах — мобильные браузеры; интерфейс адаптирован до ширины экрана 360 px. Совместимость с российскими операционными системами из реестра: </w:t>
      </w:r>
      <w:r>
        <w:rPr>
          <w:rStyle w:val="VerbatimChar"/>
        </w:rPr>
        <w:t>[заполняет правообладатель: ОС, версии и результаты испытаний]</w:t>
      </w:r>
      <w:r>
        <w:rPr/>
        <w:t>.</w:t>
      </w:r>
    </w:p>
    <w:tbl>
      <w:tblPr>
        <w:tblStyle w:val="Table"/>
        <w:tblW w:w="5000" w:type="pct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Численность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Минимальная конфигурация (проверена)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Рекомендуемая</w:t>
            </w:r>
          </w:p>
        </w:tc>
      </w:tr>
      <w:tr>
        <w:trPr/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до 1000 сотрудников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1 vCPU, 2 ГБ ОЗУ, 20 ГБ SSD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2 vCPU, 4 ГБ ОЗУ, 40 ГБ SSD</w:t>
            </w:r>
          </w:p>
        </w:tc>
      </w:tr>
      <w:tr>
        <w:trPr/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до 2000 сотрудников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1 vCPU, 2 ГБ ОЗУ, 20 ГБ SSD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2 vCPU, 4 ГБ ОЗУ, 40 ГБ SSD</w:t>
            </w:r>
          </w:p>
        </w:tc>
      </w:tr>
      <w:tr>
        <w:trPr/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до 5000 сотрудников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—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4 vCPU и 8 ГБ ОЗУ под приложение, PostgreSQL на отдельном узле или с репликой</w:t>
            </w:r>
          </w:p>
        </w:tc>
      </w:tr>
    </w:tbl>
    <w:p>
      <w:pPr>
        <w:pStyle w:val="BodyText"/>
        <w:rPr/>
      </w:pPr>
      <w:r>
        <w:rPr/>
        <w:t>Конфигурация подтверждена нагрузочными испытаниями версии 1.0.0 по модели рабочего дня организации (</w:t>
      </w:r>
      <w:r>
        <w:rPr>
          <w:rStyle w:val="VerbatimChar"/>
        </w:rPr>
        <w:t>docs/performance/report-v1.0.0.md</w:t>
      </w:r>
      <w:r>
        <w:rPr/>
        <w:t xml:space="preserve">): на одном виртуальном процессоре, где работают и API, и PostgreSQL, час пик последнего дня кампании планирования на 2000 сотрудников (115 работающих пользователей и 600 открытых вкладок с потоком событий) даёт p95 чтения 48 мс и записи 68 мс, вход всей организации за 15 минут — 74 и 145 мс, без ошибок. Рекомендуемая конфигурация оставляет запас на утренний вход (проверка пароля scrypt), выгрузки, резервное копирование и обновление. Запас по нагрузке (профиль </w:t>
      </w:r>
      <w:r>
        <w:rPr>
          <w:rStyle w:val="VerbatimChar"/>
        </w:rPr>
        <w:t>stress</w:t>
      </w:r>
      <w:r>
        <w:rPr/>
        <w:t>): на одном vCPU в требованиях остаётся вдвое более активный час пик, на рекомендуемых 2 vCPU — в восемь раз более активный (p95 чтения 166 мс, записи 427 мс, без ошибок).</w:t>
      </w:r>
    </w:p>
    <w:p>
      <w:pPr>
        <w:pStyle w:val="BodyText"/>
        <w:rPr/>
      </w:pPr>
      <w:r>
        <w:rPr/>
        <w:t>Выполненные ранее нагрузочные прогоны (сценарий: каждый виртуальный пользователь входит под своим логином и в цикле выполняет типовые действия — график отдела и организации, баланс, заявки, аналитика, подбор дат — с паузой 1,5–4,5 с):</w:t>
      </w:r>
    </w:p>
    <w:tbl>
      <w:tblPr>
        <w:tblStyle w:val="Table"/>
        <w:tblW w:w="5000" w:type="pct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339"/>
        <w:gridCol w:w="2340"/>
        <w:gridCol w:w="2340"/>
        <w:gridCol w:w="2340"/>
      </w:tblGrid>
      <w:tr>
        <w:trPr>
          <w:tblHeader w:val="true"/>
        </w:trPr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Прогон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Стенд и данные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Нагрузка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Результат</w:t>
            </w:r>
          </w:p>
        </w:tc>
      </w:tr>
      <w:tr>
        <w:trPr/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v0.5.0 (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docs/progress/load-v0.5.0.md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>)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Один узел 4 vCPU, 16 ГБ ОЗУ на API, PostgreSQL 16 и генератор нагрузки;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WEB_CONCURRENCY=3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>; 5000 сотрудников, 152 отдела, 25 539 отпусков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500 одновременных пользователей с потоком событий, 16 минут, 208 запросов в секунду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0 ошибок; p95 чтения 190 мс, записи 285 мс</w:t>
            </w:r>
          </w:p>
        </w:tc>
      </w:tr>
      <w:tr>
        <w:trPr/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v0.6.0 (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docs/progress/load-v0.6.0.md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>)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Тот же стенд, данные наполнены заново после миграций v0.6.0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Тот же сценарий, 209 запросов в секунду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0 ошибок; p95 чтения 194 мс, записи 332 мс</w:t>
            </w:r>
          </w:p>
        </w:tc>
      </w:tr>
    </w:tbl>
    <w:p>
      <w:pPr>
        <w:pStyle w:val="BodyText"/>
        <w:rPr/>
      </w:pPr>
      <w:r>
        <w:rPr/>
        <w:t xml:space="preserve">Целевые показатели: p95 чтения не больше 300 мс, записи — не больше 500 мс, без ошибок. Модель нагрузки организации на 1000–2000 сотрудников (рабочий день, пики кампании планирования, утренний вход, длительная работа) и регламент прогонов — </w:t>
      </w:r>
      <w:r>
        <w:rPr>
          <w:rStyle w:val="VerbatimChar"/>
        </w:rPr>
        <w:t>docs/performance/workday-model.md</w:t>
      </w:r>
      <w:r>
        <w:rPr/>
        <w:t xml:space="preserve"> и </w:t>
      </w:r>
      <w:r>
        <w:rPr>
          <w:rStyle w:val="VerbatimChar"/>
        </w:rPr>
        <w:t>docs/performance/runbook.md</w:t>
      </w:r>
      <w:r>
        <w:rPr/>
        <w:t>.</w:t>
      </w:r>
    </w:p>
    <w:tbl>
      <w:tblPr>
        <w:tblStyle w:val="Table"/>
        <w:tblW w:w="5000" w:type="pct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4679"/>
        <w:gridCol w:w="4680"/>
      </w:tblGrid>
      <w:tr>
        <w:trPr>
          <w:tblHeader w:val="true"/>
        </w:trPr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Механизм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Назначение</w:t>
            </w:r>
          </w:p>
        </w:tc>
      </w:tr>
      <w:tr>
        <w:trPr/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Кластер процессов (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WEB_CONCURRENCY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>)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Node.js обслуживает запросы одним ядром; главный процесс запускает по процессу на ядро и перезапускает упавшие, при частых падениях (больше 5 за минуту) останавливается, чтобы сбой увидел оркестратор</w:t>
            </w:r>
          </w:p>
        </w:tc>
      </w:tr>
      <w:tr>
        <w:trPr/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Асинхронный scrypt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Хеширование пароля выполняется в пуле потоков и не останавливает обработку остальных запросов процесса</w:t>
            </w:r>
          </w:p>
        </w:tc>
      </w:tr>
      <w:tr>
        <w:trPr/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Пул соединений на процесс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min(10, 40 / число процессов), не меньше 3: процессы одного экземпляра держат не больше ~40 соединений с БД; переопределяется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DB_POOL_SIZE</w:t>
            </w:r>
          </w:p>
        </w:tc>
      </w:tr>
      <w:tr>
        <w:trPr/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Версия данных графика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Отложенные триггеры таблиц графика увеличивают счётчик (16 строк) один раз за транзакцию при фиксации; ответ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GET /schedule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 кэшируется в памяти процесса (до 64 МБ) по версии и отдаётся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304 Not Modified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 по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ETag</w:t>
            </w:r>
          </w:p>
        </w:tc>
      </w:tr>
      <w:tr>
        <w:trPr/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Лимит входа в PostgreSQL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Минутные окна в нежурналируемой таблице — одинаковый лимит при любом числе процессов и экземпляров</w:t>
            </w:r>
          </w:p>
        </w:tc>
      </w:tr>
      <w:tr>
        <w:trPr/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Поток событий вместо опроса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Уведомления и сигнал «данные изменились» приходят по SSE; процесс проверяет БД одним запросом раз в 2 секунды на всех своих подключённых (ADR-013)</w:t>
            </w:r>
          </w:p>
        </w:tc>
      </w:tr>
      <w:tr>
        <w:trPr/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Виртуальный список графика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Браузер отрисовывает только видимые строки графика организации</w:t>
            </w:r>
          </w:p>
        </w:tc>
      </w:tr>
      <w:tr>
        <w:trPr/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Второй экземпляр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server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Ставится на другой узел с тем же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.env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 и той же БД за балансировщиком организации без привязки сессий: лимит входа, очередь писем, плановые задачи и кэш графика согласованы через PostgreSQL</w:t>
            </w:r>
            <w:bookmarkStart w:id="17" w:name="контейнеры-и-развёртывание"/>
            <w:bookmarkEnd w:id="17"/>
          </w:p>
        </w:tc>
      </w:tr>
    </w:tbl>
    <w:p>
      <w:pPr>
        <w:pStyle w:val="Heading1"/>
        <w:rPr/>
      </w:pPr>
      <w:bookmarkStart w:id="18" w:name="__RefHeading___Toc58566_1804324697"/>
      <w:bookmarkEnd w:id="18"/>
      <w:r>
        <w:rPr>
          <w:rStyle w:val="SectionNumber"/>
        </w:rPr>
        <w:t>5</w:t>
      </w:r>
      <w:r>
        <w:rPr/>
        <w:tab/>
        <w:t>Серверная часть</w:t>
      </w:r>
    </w:p>
    <w:p>
      <w:pPr>
        <w:pStyle w:val="Heading2"/>
        <w:rPr/>
      </w:pPr>
      <w:bookmarkStart w:id="19" w:name="__RefHeading___Toc58568_1804324697"/>
      <w:bookmarkEnd w:id="19"/>
      <w:r>
        <w:rPr>
          <w:rStyle w:val="SectionNumber"/>
        </w:rPr>
        <w:t>5.1</w:t>
      </w:r>
      <w:r>
        <w:rPr/>
        <w:tab/>
        <w:t>Слои и компоненты</w:t>
      </w:r>
    </w:p>
    <w:p>
      <w:pPr>
        <w:pStyle w:val="CaptionedFigure"/>
        <w:rPr/>
      </w:pPr>
      <w:r>
        <w:rPr/>
        <w:drawing>
          <wp:inline distT="0" distB="0" distL="0" distR="0">
            <wp:extent cx="5334000" cy="4859020"/>
            <wp:effectExtent l="0" t="0" r="0" b="0"/>
            <wp:docPr id="5" name="Image5" descr="Слои сервера (уровень 3 C4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 descr="Слои сервера (уровень 3 C4)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859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r>
        <w:rPr/>
        <w:t>Слои сервера (уровень 3 C4)</w:t>
      </w:r>
    </w:p>
    <w:p>
      <w:pPr>
        <w:pStyle w:val="BodyText"/>
        <w:rPr/>
      </w:pPr>
      <w:r>
        <w:rPr/>
        <w:t xml:space="preserve">Сервер — модульный монолит на NestJS 11 и TypeScript в строгом режиме (ADR-001, ADR-009). Каждый домен в каталоге </w:t>
      </w:r>
      <w:r>
        <w:rPr>
          <w:rStyle w:val="VerbatimChar"/>
        </w:rPr>
        <w:t>server/src/&lt;домен&gt;/</w:t>
      </w:r>
      <w:r>
        <w:rPr/>
        <w:t xml:space="preserve"> содержит тонкий контроллер (DTO-валидация, вызов сервиса, ответ) и сервис с логикой; доступ к данным — только через Prisma 6.</w:t>
      </w:r>
    </w:p>
    <w:tbl>
      <w:tblPr>
        <w:tblStyle w:val="Table"/>
        <w:tblW w:w="5000" w:type="pct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4679"/>
        <w:gridCol w:w="4680"/>
      </w:tblGrid>
      <w:tr>
        <w:trPr>
          <w:tblHeader w:val="true"/>
        </w:trPr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Модуль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Ответственность</w:t>
            </w:r>
          </w:p>
        </w:tc>
      </w:tr>
      <w:tr>
        <w:trPr/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auth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Вход по паролю и через единый вход OIDC (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oidc.ts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), обновление и смена пароля, выход;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TokenService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 (JWT HS256); глобальные guards; ограничение частоты входа (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rate-limit.ts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>); служебные роли (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access.ts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>); сеансы, блокировка, журнал входов (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login-journal.service.ts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>), политика паролей (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password-policy.ts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>), хеширование паролей (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passwords.ts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>)</w:t>
            </w:r>
          </w:p>
        </w:tc>
      </w:tr>
      <w:tr>
        <w:trPr/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employees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Сотрудники, логины и одноразовые пароли, балансы, режим работы (недельный шаблон и исключения), состояние учётной записи</w:t>
            </w:r>
          </w:p>
        </w:tc>
      </w:tr>
      <w:tr>
        <w:trPr/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requests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Заявки: конечный автомат, пересечения, лимиты, перенос и удаление;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balance.ts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 — расчёт баланса;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approval-scope.ts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 — кто решает по заявке;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escalation.service.ts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 — передача заявки без решения вышестоящему</w:t>
            </w:r>
          </w:p>
        </w:tc>
      </w:tr>
      <w:tr>
        <w:trPr/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delegations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Замещение руководителя на период</w:t>
            </w:r>
          </w:p>
        </w:tc>
      </w:tr>
      <w:tr>
        <w:trPr/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notices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Извещение о начале отпуска (ст. 123 ТК РФ): плановая задача, ознакомление, отзыв при переносе, отмене и увольнении, журнал</w:t>
            </w:r>
          </w:p>
        </w:tc>
      </w:tr>
      <w:tr>
        <w:trPr/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planning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Кампания планирования на год, прогресс, напоминания, утверждение графика со снимком (ADR-016), форма Т-7 (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t7.ts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>)</w:t>
            </w:r>
          </w:p>
        </w:tc>
      </w:tr>
      <w:tr>
        <w:trPr/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schedule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График отпусков за период с конфликтами отделов; кэш по версии данных,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ETag</w:t>
            </w:r>
          </w:p>
        </w:tc>
      </w:tr>
      <w:tr>
        <w:trPr/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analytics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Нагрузка отделов, периоды конфликтов, выводы руководителю, подбор дат (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coverage.ts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>)</w:t>
            </w:r>
          </w:p>
        </w:tc>
      </w:tr>
      <w:tr>
        <w:trPr/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directories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calendar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settings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Отделы, проекты, личные группы; производственный календарь (праздники ст. 112 и переносы выходных); правила организации</w:t>
            </w:r>
          </w:p>
        </w:tc>
      </w:tr>
      <w:tr>
        <w:trPr/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imports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Импорт сотрудников и остатков из XLSX/CSV и JSON;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plan.ts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 — план импорта для предпросмотра и применения</w:t>
            </w:r>
          </w:p>
        </w:tc>
      </w:tr>
      <w:tr>
        <w:trPr/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notifications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mail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Уведомления в интерфейсе; письма через очередь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email_outbox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 с повторами, еженедельная сводка руководителям</w:t>
            </w:r>
          </w:p>
        </w:tc>
      </w:tr>
      <w:tr>
        <w:trPr/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events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Поток событий SSE: билеты, подключения, опрос новых уведомлений и версии данных</w:t>
            </w:r>
          </w:p>
        </w:tc>
      </w:tr>
      <w:tr>
        <w:trPr/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jobs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Плановые задачи в каждом процессе с идемпотентностью в PostgreSQL (ADR-017)</w:t>
            </w:r>
          </w:p>
        </w:tc>
      </w:tr>
      <w:tr>
        <w:trPr/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audit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reports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Неизменяемый журнал изменений; выгрузка отпусков в XLSX</w:t>
            </w:r>
          </w:p>
        </w:tc>
      </w:tr>
      <w:tr>
        <w:trPr/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health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Пробы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/healthz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/readyz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 и метрики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/metrics</w:t>
            </w:r>
          </w:p>
        </w:tc>
      </w:tr>
      <w:tr>
        <w:trPr/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infra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PrismaService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>; ошибки RFC 9457 (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problems.ts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>); реестр метрик и сложение процессов кластера (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metrics.ts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>); число процессов и пул (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concurrency.ts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>); версия данных и кэш ответов (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data-version.ts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>); журнал с идентификатором запроса (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log.ts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>)</w:t>
            </w:r>
            <w:bookmarkStart w:id="20" w:name="слои-и-компоненты"/>
            <w:bookmarkEnd w:id="20"/>
          </w:p>
        </w:tc>
      </w:tr>
    </w:tbl>
    <w:p>
      <w:pPr>
        <w:pStyle w:val="Heading2"/>
        <w:rPr/>
      </w:pPr>
      <w:bookmarkStart w:id="21" w:name="__RefHeading___Toc58570_1804324697"/>
      <w:bookmarkEnd w:id="21"/>
      <w:r>
        <w:rPr>
          <w:rStyle w:val="SectionNumber"/>
        </w:rPr>
        <w:t>5.2</w:t>
      </w:r>
      <w:r>
        <w:rPr/>
        <w:tab/>
        <w:t>Ключевые сервисы</w:t>
      </w:r>
    </w:p>
    <w:tbl>
      <w:tblPr>
        <w:tblStyle w:val="Table"/>
        <w:tblW w:w="5000" w:type="pct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4679"/>
        <w:gridCol w:w="4680"/>
      </w:tblGrid>
      <w:tr>
        <w:trPr>
          <w:tblHeader w:val="true"/>
        </w:trPr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Сервис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Назначение</w:t>
            </w:r>
          </w:p>
        </w:tc>
      </w:tr>
      <w:tr>
        <w:trPr/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RequestsService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Жизненный цикл заявки. Создание проверяет права (за себя, за подчинённого, администратор), даты, пересечения с собственными заявками и лимит дней под блокировкой строки сотрудника (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SELECT … FOR UPDATE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>); заявка, оформленная руководителем за подчинённого, сразу согласована. Перенос согласованного отпуска хранит прежние даты до решения; запрос удаления помечает заявку и после согласования удаляет её, событие остаётся в истории и аудите</w:t>
            </w:r>
          </w:p>
        </w:tc>
      </w:tr>
      <w:tr>
        <w:trPr/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Расчёт баланса (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balance.ts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>)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Праздничные нерабочие дни внутри отпуска не входят в число дней (ст. 120 ТК РФ); признак части не короче 14 календарных дней (ст. 125); доступно = норма + перенос − согласованные дни − дни на согласовании; при жёсткой политике лимита заявка сверх доступного отклоняется (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409 limit-exceeded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>)</w:t>
            </w:r>
          </w:p>
        </w:tc>
      </w:tr>
      <w:tr>
        <w:trPr/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Согласование (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approval-scope.ts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),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EscalationService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Очередь «ждут моего решения» и право решения строятся из одних правил: руководитель сотрудника, руководитель отдела, заместитель на период замещения, вышестоящий — по эскалированной заявке; по своей заявке не решает никто, кроме администратора. Эскалация раз в минуту передаёт заявки без решения дольше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escalationDays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 руководителю согласующего, без него — уведомляет кадровую службу</w:t>
            </w:r>
          </w:p>
        </w:tc>
      </w:tr>
      <w:tr>
        <w:trPr/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ScheduleService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График собирается четырьмя запросами SQL (сотрудники, отпуска, шаблоны и исключения режима работы), конфликты отделов считаются по дням; версия данных читается раньше данных, поэтому кэшированный ответ не может опередить данные</w:t>
            </w:r>
          </w:p>
        </w:tc>
      </w:tr>
      <w:tr>
        <w:trPr/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AnalyticsService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 (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coverage.ts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>)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Доля отдела в отпуске по месяцам, периоды конфликтов выше порога, выводы руководителю; подбор до пяти непересекающихся окон отпуска с учётом нагрузки отдела, праздников и собственных отпусков, с объяснением</w:t>
            </w:r>
          </w:p>
        </w:tc>
      </w:tr>
      <w:tr>
        <w:trPr/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ImportsService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 (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plan.ts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>)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Одна чистая функция строит план для предпросмотра и для применения; применение — одна транзакция с аудитом каждой записи и только при отсутствии ошибок; повторная загрузка того же файла ничего не меняет</w:t>
            </w:r>
          </w:p>
        </w:tc>
      </w:tr>
      <w:tr>
        <w:trPr/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MailService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Шаблон outbox: письмо пишется в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email_outbox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 в транзакции события и отправляется фоном; разбор очереди с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FOR UPDATE SKIP LOCKED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 и арендой на 5 минут; повторы через 1, 5, 30 минут, 2 и 12 часов</w:t>
            </w:r>
          </w:p>
        </w:tc>
      </w:tr>
      <w:tr>
        <w:trPr/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NoticesService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Раз в минуту извещает о согласованных ежегодных отпусках, начинающихся через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noticeDays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 дней (не меньше 14); уникальный ключ «заявка + дата начала» исключает повторное извещение из разных процессов</w:t>
            </w:r>
          </w:p>
        </w:tc>
      </w:tr>
      <w:tr>
        <w:trPr/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PlanningService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Кампания планирования, прогресс по отделам и сотрудникам, напоминания; утверждение графика фиксирует неизменяемый снимок согласованных отпусков с реквизитами документа; форма Т-7 строится из снимка, переносы после утверждения — по текущим заявкам</w:t>
            </w:r>
          </w:p>
        </w:tc>
      </w:tr>
      <w:tr>
        <w:trPr/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JobsService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В каждом процессе раз в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JOBS_POLL_SECONDS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 (по умолчанию 60) проходит плановые задачи: извещения, эскалацию, напоминания о планировании, очистку журнала входов; повтор безопасен за счёт ограничений БД (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INSERT … ON CONFLICT DO NOTHING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, условные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UPDATE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>)</w:t>
            </w:r>
          </w:p>
        </w:tc>
      </w:tr>
      <w:tr>
        <w:trPr/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EventsService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Держит открытые потоки SSE; раз в 2 секунды одним запросом находит новые уведомления подключённых сотрудников и проверяет версию данных; раз в 25 секунд отправляет пустой комментарий, чтобы прокси не закрыл соединение</w:t>
            </w:r>
          </w:p>
        </w:tc>
      </w:tr>
      <w:tr>
        <w:trPr/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AuditService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Запись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audit_events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 только внутри транзакции изменения, переданной вызывающим сервисом</w:t>
            </w:r>
          </w:p>
        </w:tc>
      </w:tr>
    </w:tbl>
    <w:p>
      <w:pPr>
        <w:pStyle w:val="Heading2"/>
        <w:rPr/>
      </w:pPr>
      <w:bookmarkStart w:id="22" w:name="__RefHeading___Toc58572_1804324697"/>
      <w:bookmarkEnd w:id="22"/>
      <w:r>
        <w:rPr>
          <w:rStyle w:val="SectionNumber"/>
        </w:rPr>
        <w:t>5.3</w:t>
      </w:r>
      <w:r>
        <w:rPr/>
        <w:tab/>
        <w:t>Обработка запроса</w:t>
      </w:r>
    </w:p>
    <w:p>
      <w:pPr>
        <w:pStyle w:val="CaptionedFigure"/>
        <w:rPr/>
      </w:pPr>
      <w:r>
        <w:rPr/>
        <w:drawing>
          <wp:inline distT="0" distB="0" distL="0" distR="0">
            <wp:extent cx="5334000" cy="1055370"/>
            <wp:effectExtent l="0" t="0" r="0" b="0"/>
            <wp:docPr id="6" name="Image6" descr="Маршрут запроса через защиту и валидацию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" descr="Маршрут запроса через защиту и валидацию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055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r>
        <w:rPr/>
        <w:t>Маршрут запроса через защиту и валидацию</w:t>
      </w:r>
    </w:p>
    <w:p>
      <w:pPr>
        <w:pStyle w:val="BodyText"/>
        <w:rPr/>
      </w:pPr>
      <w:r>
        <w:rPr/>
        <w:t xml:space="preserve">Каждый запрос получает идентификатор </w:t>
      </w:r>
      <w:r>
        <w:rPr>
          <w:rStyle w:val="VerbatimChar"/>
        </w:rPr>
        <w:t>X-Request-Id</w:t>
      </w:r>
      <w:r>
        <w:rPr/>
        <w:t xml:space="preserve"> (от прокси организации или nginx стенда, иначе создаётся сервером); он возвращается клиенту, попадает в журнал сервера и в поле </w:t>
      </w:r>
      <w:r>
        <w:rPr>
          <w:rStyle w:val="VerbatimChar"/>
        </w:rPr>
        <w:t>requestId</w:t>
      </w:r>
      <w:r>
        <w:rPr/>
        <w:t xml:space="preserve"> ответа об ошибке. Далее запрос </w:t>
      </w:r>
      <w:r>
        <w:rPr>
          <w:rStyle w:val="VerbatimChar"/>
        </w:rPr>
        <w:t>/api/v1/*</w:t>
      </w:r>
      <w:r>
        <w:rPr/>
        <w:t xml:space="preserve"> проходит:</w:t>
      </w:r>
    </w:p>
    <w:p>
      <w:pPr>
        <w:pStyle w:val="Compact"/>
        <w:numPr>
          <w:ilvl w:val="0"/>
          <w:numId w:val="5"/>
        </w:numPr>
        <w:rPr/>
      </w:pPr>
      <w:r>
        <w:rPr/>
        <w:t xml:space="preserve">ограничение частоты (для входа) — </w:t>
      </w:r>
      <w:r>
        <w:rPr>
          <w:rStyle w:val="VerbatimChar"/>
        </w:rPr>
        <w:t>LoginRateLimitGuard</w:t>
      </w:r>
      <w:r>
        <w:rPr/>
        <w:t>;</w:t>
      </w:r>
    </w:p>
    <w:p>
      <w:pPr>
        <w:pStyle w:val="Compact"/>
        <w:numPr>
          <w:ilvl w:val="0"/>
          <w:numId w:val="1"/>
        </w:numPr>
        <w:rPr/>
      </w:pPr>
      <w:r>
        <w:rPr/>
        <w:t xml:space="preserve">глобальную аутентификацию </w:t>
      </w:r>
      <w:r>
        <w:rPr>
          <w:rStyle w:val="VerbatimChar"/>
        </w:rPr>
        <w:t>JwtAuthGuard</w:t>
      </w:r>
      <w:r>
        <w:rPr/>
        <w:t xml:space="preserve"> (кроме маршрутов, явно отмеченных </w:t>
      </w:r>
      <w:r>
        <w:rPr>
          <w:rStyle w:val="VerbatimChar"/>
        </w:rPr>
        <w:t>@Public()</w:t>
      </w:r>
      <w:r>
        <w:rPr/>
        <w:t>): проверка подписи токена, версии пароля, активности сотрудника, живости сеанса и признака одноразового пароля — одним запросом к БД с кэшем 10 секунд в процессе;</w:t>
      </w:r>
    </w:p>
    <w:p>
      <w:pPr>
        <w:pStyle w:val="Compact"/>
        <w:numPr>
          <w:ilvl w:val="0"/>
          <w:numId w:val="1"/>
        </w:numPr>
        <w:rPr/>
      </w:pPr>
      <w:r>
        <w:rPr/>
        <w:t xml:space="preserve">проверку роли </w:t>
      </w:r>
      <w:r>
        <w:rPr>
          <w:rStyle w:val="VerbatimChar"/>
        </w:rPr>
        <w:t>RolesGuard</w:t>
      </w:r>
      <w:r>
        <w:rPr/>
        <w:t>;</w:t>
      </w:r>
    </w:p>
    <w:p>
      <w:pPr>
        <w:pStyle w:val="Compact"/>
        <w:numPr>
          <w:ilvl w:val="0"/>
          <w:numId w:val="1"/>
        </w:numPr>
        <w:rPr/>
      </w:pPr>
      <w:r>
        <w:rPr/>
        <w:t>DTO-валидацию с отбрасыванием неизвестных полей (</w:t>
      </w:r>
      <w:r>
        <w:rPr>
          <w:rStyle w:val="VerbatimChar"/>
        </w:rPr>
        <w:t>ValidationPipe</w:t>
      </w:r>
      <w:r>
        <w:rPr/>
        <w:t xml:space="preserve">, </w:t>
      </w:r>
      <w:r>
        <w:rPr>
          <w:rStyle w:val="VerbatimChar"/>
        </w:rPr>
        <w:t>whitelist</w:t>
      </w:r>
      <w:r>
        <w:rPr/>
        <w:t>);</w:t>
      </w:r>
    </w:p>
    <w:p>
      <w:pPr>
        <w:pStyle w:val="Compact"/>
        <w:numPr>
          <w:ilvl w:val="0"/>
          <w:numId w:val="1"/>
        </w:numPr>
        <w:rPr/>
      </w:pPr>
      <w:r>
        <w:rPr/>
        <w:t>проверку прав на конкретный объект (своя заявка, подчинённый) в сервисе.</w:t>
      </w:r>
    </w:p>
    <w:p>
      <w:pPr>
        <w:pStyle w:val="FirstParagraph"/>
        <w:rPr/>
      </w:pPr>
      <w:r>
        <w:rPr/>
        <w:t xml:space="preserve">Ошибка любого уровня возвращается как </w:t>
      </w:r>
      <w:r>
        <w:rPr>
          <w:rStyle w:val="VerbatimChar"/>
        </w:rPr>
        <w:t>application/problem+json</w:t>
      </w:r>
      <w:r>
        <w:rPr/>
        <w:t xml:space="preserve"> (RFC 9457) с кодом из каталога; внутренняя ошибка — </w:t>
      </w:r>
      <w:r>
        <w:rPr>
          <w:rStyle w:val="VerbatimChar"/>
        </w:rPr>
        <w:t>500</w:t>
      </w:r>
      <w:r>
        <w:rPr/>
        <w:t xml:space="preserve"> без подробностей, подробности со стеком — в журнале сервера.</w:t>
      </w:r>
    </w:p>
    <w:p>
      <w:pPr>
        <w:pStyle w:val="Heading1"/>
        <w:rPr/>
      </w:pPr>
      <w:bookmarkStart w:id="23" w:name="__RefHeading___Toc58574_1804324697"/>
      <w:bookmarkStart w:id="24" w:name="клиентская-часть"/>
      <w:bookmarkEnd w:id="23"/>
      <w:r>
        <w:rPr>
          <w:rStyle w:val="SectionNumber"/>
        </w:rPr>
        <w:t>6</w:t>
      </w:r>
      <w:r>
        <w:rPr/>
        <w:tab/>
        <w:t>Клиентская часть</w:t>
      </w:r>
    </w:p>
    <w:p>
      <w:pPr>
        <w:pStyle w:val="CaptionedFigure"/>
        <w:rPr/>
      </w:pPr>
      <w:r>
        <w:rPr/>
        <w:drawing>
          <wp:inline distT="0" distB="0" distL="0" distR="0">
            <wp:extent cx="5334000" cy="3073400"/>
            <wp:effectExtent l="0" t="0" r="0" b="0"/>
            <wp:docPr id="7" name="Image7" descr="Слои клиент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7" descr="Слои клиента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7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r>
        <w:rPr/>
        <w:t>Слои клиента</w:t>
      </w:r>
    </w:p>
    <w:p>
      <w:pPr>
        <w:pStyle w:val="BodyText"/>
        <w:rPr/>
      </w:pPr>
      <w:r>
        <w:rPr/>
        <w:t>Клиент — Vue 3 и TypeScript в строгом режиме, сборка Vite, состояние — Pinia, без сторонних библиотек компонентов (ADR-011): собственная дизайн-система на токенах оформления, собственные компоненты и иконки.</w:t>
      </w:r>
    </w:p>
    <w:tbl>
      <w:tblPr>
        <w:tblStyle w:val="Table"/>
        <w:tblW w:w="5000" w:type="pct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Слой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Каталог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Ответственность</w:t>
            </w:r>
          </w:p>
        </w:tc>
      </w:tr>
      <w:tr>
        <w:trPr/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Экраны и маршруты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web/src/views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web/src/router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13 экранов; охрана маршрутов по входу, ролям и признаку одноразового пароля</w:t>
            </w:r>
          </w:p>
        </w:tc>
      </w:tr>
      <w:tr>
        <w:trPr/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Компоненты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web/src/components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Форма заявки с подбором дат, панели кампании планирования и извещений, журнал входов, редактор замещения, диалог импорта, график месячной нагрузки; общие компоненты (иконки, уведомления, подтверждения)</w:t>
            </w:r>
          </w:p>
        </w:tc>
      </w:tr>
      <w:tr>
        <w:trPr/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Состояние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web/src/stores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Хранилища Pinia: вход и профиль, согласование, календарь, живые обновления, уведомления, интерфейс</w:t>
            </w:r>
          </w:p>
        </w:tc>
      </w:tr>
      <w:tr>
        <w:trPr/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Чистые функции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web/src/lib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Даты, раскладка графика, разбор производственного календаря (формат xmlcalendar.ru и CSV), отображение людей (инициалы, краткое ФИО); покрыты модульными тестами</w:t>
            </w:r>
          </w:p>
        </w:tc>
      </w:tr>
      <w:tr>
        <w:trPr/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Доступ к API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web/src/api/client.ts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Единственный модуль, обращающийся к сети: добавляет Bearer-токен, при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401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 один раз обновляет его по httpOnly-cookie (параллельные запросы ждут общий результат), превращает problem+json в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ApiError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 с идентификатором запроса</w:t>
            </w:r>
          </w:p>
        </w:tc>
      </w:tr>
      <w:tr>
        <w:trPr/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Оформление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web/src/styles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Токены светлой и тёмной темы (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tokens.css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>), базовые паттерны (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base.css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>); тема — светлая, тёмная или по настройке системы</w:t>
            </w:r>
          </w:p>
        </w:tc>
      </w:tr>
    </w:tbl>
    <w:p>
      <w:pPr>
        <w:pStyle w:val="Normal"/>
        <w:rPr/>
      </w:pPr>
      <w:r>
        <w:rPr/>
      </w:r>
    </w:p>
    <w:tbl>
      <w:tblPr>
        <w:tblStyle w:val="Table"/>
        <w:tblW w:w="5000" w:type="pct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4679"/>
        <w:gridCol w:w="4680"/>
      </w:tblGrid>
      <w:tr>
        <w:trPr>
          <w:tblHeader w:val="true"/>
        </w:trPr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Экран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Назначение</w:t>
            </w:r>
          </w:p>
        </w:tc>
      </w:tr>
      <w:tr>
        <w:trPr/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График отпусков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Диаграмма Ганта на год: масштабы год / квартал / месяц, отделы, праздники, линия «сегодня», полоса нагрузки, слой удалёнки, сравнение сотрудников, выгрузка в Excel</w:t>
            </w:r>
          </w:p>
        </w:tc>
      </w:tr>
      <w:tr>
        <w:trPr/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Мой отпуск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Баланс с разбивкой, заявки, подбор дат, перенос и отмена; извещение с кнопкой «Ознакомлен»; приглашение кампании планирования с прогрессом</w:t>
            </w:r>
          </w:p>
        </w:tc>
      </w:tr>
      <w:tr>
        <w:trPr/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Команда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Кто сегодня в офисе, на удалёнке, в отпуске; аналитика года: выводы, нагрузка по месяцам, конфликты</w:t>
            </w:r>
          </w:p>
        </w:tc>
      </w:tr>
      <w:tr>
        <w:trPr/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График работы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Недельный шаблон офис / удалёнка и разовые исключения</w:t>
            </w:r>
          </w:p>
        </w:tc>
      </w:tr>
      <w:tr>
        <w:trPr/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Заявки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Очередь «ждут моего решения» с пересечениями в отделе, отклонение с причиной, оформление отпуска за подчинённого</w:t>
            </w:r>
          </w:p>
        </w:tc>
      </w:tr>
      <w:tr>
        <w:trPr/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Кадровый учёт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Кампания планирования, утверждение графика и форма Т-7; журнал извещений с выгрузкой и листом для печати под подпись</w:t>
            </w:r>
          </w:p>
        </w:tc>
      </w:tr>
      <w:tr>
        <w:trPr/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Сотрудники, справочники, журнал аудита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Учётные записи (блокировка, сеансы, сброс пароля), замещение, импорт; отделы, проекты, производственный календарь; журнал изменений и журнал входов</w:t>
            </w:r>
          </w:p>
        </w:tc>
      </w:tr>
      <w:tr>
        <w:trPr/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Профиль и настройки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Тема, письма, смена пароля, свои сеансы, правила организации (администратор)</w:t>
            </w:r>
          </w:p>
        </w:tc>
      </w:tr>
      <w:tr>
        <w:trPr/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Вход, смена пароля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Вход по паролю и через единый вход; смена одноразового пароля при первом входе</w:t>
            </w:r>
          </w:p>
        </w:tc>
      </w:tr>
    </w:tbl>
    <w:p>
      <w:pPr>
        <w:pStyle w:val="BodyText"/>
        <w:rPr/>
      </w:pPr>
      <w:r>
        <w:rPr/>
        <w:t>Сборка не обращается к внешним CDN и шрифтам: используются системные шрифты, иконки — встроенные SVG. Токен доступа хранится только в памяти вкладки; браузерное хранилище используется лишь для настроек интерфейса (тема, масштаб графика, свёрнутое меню).</w:t>
      </w:r>
    </w:p>
    <w:p>
      <w:pPr>
        <w:pStyle w:val="Heading2"/>
        <w:rPr/>
      </w:pPr>
      <w:bookmarkStart w:id="25" w:name="__RefHeading___Toc58576_1804324697"/>
      <w:bookmarkStart w:id="26" w:name="живые-обновления"/>
      <w:bookmarkEnd w:id="25"/>
      <w:r>
        <w:rPr>
          <w:rStyle w:val="SectionNumber"/>
        </w:rPr>
        <w:t>6.1</w:t>
      </w:r>
      <w:r>
        <w:rPr/>
        <w:tab/>
        <w:t>Живые обновления</w:t>
      </w:r>
    </w:p>
    <w:p>
      <w:pPr>
        <w:pStyle w:val="FirstParagraph"/>
        <w:rPr/>
      </w:pPr>
      <w:r>
        <w:rPr/>
        <w:t xml:space="preserve">Клиент открывает поток Server-Sent Events </w:t>
      </w:r>
      <w:r>
        <w:rPr>
          <w:rStyle w:val="VerbatimChar"/>
        </w:rPr>
        <w:t>GET /api/v1/events</w:t>
      </w:r>
      <w:r>
        <w:rPr/>
        <w:t xml:space="preserve"> по одноразовому билету на 60 секунд (</w:t>
      </w:r>
      <w:r>
        <w:rPr>
          <w:rStyle w:val="VerbatimChar"/>
        </w:rPr>
        <w:t>POST /api/v1/events/ticket</w:t>
      </w:r>
      <w:r>
        <w:rPr/>
        <w:t xml:space="preserve">): так токен не попадает в адрес запроса и журналы прокси. Сервер присылает события </w:t>
      </w:r>
      <w:r>
        <w:rPr>
          <w:rStyle w:val="VerbatimChar"/>
        </w:rPr>
        <w:t>hello</w:t>
      </w:r>
      <w:r>
        <w:rPr/>
        <w:t xml:space="preserve">, </w:t>
      </w:r>
      <w:r>
        <w:rPr>
          <w:rStyle w:val="VerbatimChar"/>
        </w:rPr>
        <w:t>notifications</w:t>
      </w:r>
      <w:r>
        <w:rPr/>
        <w:t xml:space="preserve"> (число непрочитанных), </w:t>
      </w:r>
      <w:r>
        <w:rPr>
          <w:rStyle w:val="VerbatimChar"/>
        </w:rPr>
        <w:t>data</w:t>
      </w:r>
      <w:r>
        <w:rPr/>
        <w:t xml:space="preserve"> (версия данных графика изменилась, не чаще раза в 15 секунд) и </w:t>
      </w:r>
      <w:r>
        <w:rPr>
          <w:rStyle w:val="VerbatimChar"/>
        </w:rPr>
        <w:t>revoked</w:t>
      </w:r>
      <w:r>
        <w:rPr/>
        <w:t xml:space="preserve"> (сеанс отозван). При обрыве клиент переподключается с нарастающей паузой от 4 до 60 секунд и на это время возвращается к опросу уведомлений раз в 30 секунд. Подход не требует WebSocket-инфраструктуры и брокера сообщений (ADR-013).</w:t>
      </w:r>
      <w:bookmarkEnd w:id="24"/>
      <w:bookmarkEnd w:id="26"/>
    </w:p>
    <w:p>
      <w:pPr>
        <w:pStyle w:val="Heading1"/>
        <w:rPr/>
      </w:pPr>
      <w:bookmarkStart w:id="27" w:name="__RefHeading___Toc58578_1804324697"/>
      <w:bookmarkStart w:id="28" w:name="модель-данных"/>
      <w:bookmarkEnd w:id="27"/>
      <w:r>
        <w:rPr>
          <w:rStyle w:val="SectionNumber"/>
        </w:rPr>
        <w:t>7</w:t>
      </w:r>
      <w:r>
        <w:rPr/>
        <w:tab/>
        <w:t>Модель данных</w:t>
      </w:r>
    </w:p>
    <w:p>
      <w:pPr>
        <w:pStyle w:val="FirstParagraph"/>
        <w:rPr/>
      </w:pPr>
      <w:r>
        <w:rPr/>
        <w:t xml:space="preserve">Данные хранятся в PostgreSQL 17; схема описана в </w:t>
      </w:r>
      <w:r>
        <w:rPr>
          <w:rStyle w:val="VerbatimChar"/>
        </w:rPr>
        <w:t>server/prisma/schema.prisma</w:t>
      </w:r>
      <w:r>
        <w:rPr/>
        <w:t xml:space="preserve">, изменения — только версионными миграциями </w:t>
      </w:r>
      <w:r>
        <w:rPr>
          <w:rStyle w:val="VerbatimChar"/>
        </w:rPr>
        <w:t>server/prisma/migrations</w:t>
      </w:r>
      <w:r>
        <w:rPr/>
        <w:t xml:space="preserve">, которые применяются автоматически при старте контейнера </w:t>
      </w:r>
      <w:r>
        <w:rPr>
          <w:rStyle w:val="VerbatimChar"/>
        </w:rPr>
        <w:t>server</w:t>
      </w:r>
      <w:r>
        <w:rPr/>
        <w:t xml:space="preserve">. Даты отпусков хранятся типом </w:t>
      </w:r>
      <w:r>
        <w:rPr>
          <w:rStyle w:val="VerbatimChar"/>
        </w:rPr>
        <w:t>date</w:t>
      </w:r>
      <w:r>
        <w:rPr/>
        <w:t>, статусы и типы заявок и режимы работы — перечислениями PostgreSQL, снимок утверждённого графика и значения журнала аудита — JSONB. Целостность обеспечивают внешние ключи, уникальные индексы, блокировки строк в транзакциях и отложенные триггеры версии данных.</w:t>
      </w:r>
    </w:p>
    <w:tbl>
      <w:tblPr>
        <w:tblStyle w:val="Table"/>
        <w:tblW w:w="5000" w:type="pct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Группа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Таблицы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Назначение</w:t>
            </w:r>
          </w:p>
        </w:tc>
      </w:tr>
      <w:tr>
        <w:trPr/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Организация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employees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departments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projects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groups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group_members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Кто работает, в каком отделе и проекте, кто чей руководитель</w:t>
            </w:r>
          </w:p>
        </w:tc>
      </w:tr>
      <w:tr>
        <w:trPr/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Отпуска и режим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vacation_requests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request_events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notifications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work_patterns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work_overrides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Заявки с историей, уведомления, офис и удалёнка</w:t>
            </w:r>
          </w:p>
        </w:tc>
      </w:tr>
      <w:tr>
        <w:trPr/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Кадровый учёт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approval_delegations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vacation_notices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planning_campaigns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schedule_approvals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Замещение, извещения, кампания планирования, утверждённый график</w:t>
            </w:r>
          </w:p>
        </w:tc>
      </w:tr>
      <w:tr>
        <w:trPr/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Служебные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audit_events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refresh_tokens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login_state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login_events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org_settings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calendars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email_outbox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job_runs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data_version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login_attempts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Журнал изменений, сеансы, состояние и журнал входов, правила организации, праздники, очередь писем, плановые задачи, версия данных, окна лимита входа</w:t>
            </w:r>
          </w:p>
        </w:tc>
      </w:tr>
    </w:tbl>
    <w:p>
      <w:pPr>
        <w:pStyle w:val="Heading2"/>
        <w:rPr/>
      </w:pPr>
      <w:bookmarkStart w:id="29" w:name="__RefHeading___Toc58580_1804324697"/>
      <w:bookmarkEnd w:id="29"/>
      <w:r>
        <w:rPr>
          <w:rStyle w:val="SectionNumber"/>
        </w:rPr>
        <w:t>7.1</w:t>
      </w:r>
      <w:r>
        <w:rPr/>
        <w:tab/>
        <w:t>Организация</w:t>
      </w:r>
    </w:p>
    <w:p>
      <w:pPr>
        <w:pStyle w:val="CaptionedFigure"/>
        <w:rPr/>
      </w:pPr>
      <w:r>
        <w:rPr/>
        <w:drawing>
          <wp:inline distT="0" distB="0" distL="0" distR="0">
            <wp:extent cx="5334000" cy="8926195"/>
            <wp:effectExtent l="0" t="0" r="0" b="0"/>
            <wp:docPr id="8" name="Image8" descr="ER-диаграмма: сотрудники, отделы, проекты, групп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8" descr="ER-диаграмма: сотрудники, отделы, проекты, группы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926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r>
        <w:rPr/>
        <w:t>ER-диаграмма: сотрудники, отделы, проекты, группы</w:t>
      </w:r>
    </w:p>
    <w:p>
      <w:pPr>
        <w:pStyle w:val="BodyText"/>
        <w:rPr/>
      </w:pPr>
      <w:r>
        <w:rPr/>
        <w:t>Руководитель сотрудника (</w:t>
      </w:r>
      <w:r>
        <w:rPr>
          <w:rStyle w:val="VerbatimChar"/>
        </w:rPr>
        <w:t>employees.manager_id</w:t>
      </w:r>
      <w:r>
        <w:rPr/>
        <w:t>) согласует его заявки и ведёт его режим работы; руководитель отдела (</w:t>
      </w:r>
      <w:r>
        <w:rPr>
          <w:rStyle w:val="VerbatimChar"/>
        </w:rPr>
        <w:t>departments.manager_id</w:t>
      </w:r>
      <w:r>
        <w:rPr/>
        <w:t xml:space="preserve">) решает по сотрудникам отдела без руководителя и выгружает отпуска отдела. Признак </w:t>
      </w:r>
      <w:r>
        <w:rPr>
          <w:rStyle w:val="VerbatimChar"/>
        </w:rPr>
        <w:t>is_hr</w:t>
      </w:r>
      <w:r>
        <w:rPr/>
        <w:t xml:space="preserve"> даёт права кадровой службы. Сотрудник физически не удаляется: увольнение снимает признак </w:t>
      </w:r>
      <w:r>
        <w:rPr>
          <w:rStyle w:val="VerbatimChar"/>
        </w:rPr>
        <w:t>is_active</w:t>
      </w:r>
      <w:r>
        <w:rPr/>
        <w:t>, история отпусков и журналы сохраняются. Табельный номер уникален во всей организации, включая уволенных.</w:t>
      </w:r>
    </w:p>
    <w:p>
      <w:pPr>
        <w:pStyle w:val="Heading2"/>
        <w:rPr/>
      </w:pPr>
      <w:bookmarkStart w:id="30" w:name="__RefHeading___Toc58582_1804324697"/>
      <w:bookmarkStart w:id="31" w:name="отпуска-и-режим-работы"/>
      <w:bookmarkEnd w:id="30"/>
      <w:r>
        <w:rPr>
          <w:rStyle w:val="SectionNumber"/>
        </w:rPr>
        <w:t>7.2</w:t>
      </w:r>
      <w:r>
        <w:rPr/>
        <w:tab/>
        <w:t>Отпуска и режим работы</w:t>
      </w:r>
    </w:p>
    <w:p>
      <w:pPr>
        <w:pStyle w:val="CaptionedFigure"/>
        <w:rPr/>
      </w:pPr>
      <w:r>
        <w:rPr/>
        <w:drawing>
          <wp:inline distT="0" distB="0" distL="0" distR="0">
            <wp:extent cx="5334000" cy="3317875"/>
            <wp:effectExtent l="0" t="0" r="0" b="0"/>
            <wp:docPr id="9" name="Image9" descr="ER-диаграмма: заявки, история, уведомления, режим работ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9" descr="ER-диаграмма: заявки, история, уведомления, режим работы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1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r>
        <w:rPr/>
        <w:t>ER-диаграмма: заявки, история, уведомления, режим работы</w:t>
      </w:r>
    </w:p>
    <w:p>
      <w:pPr>
        <w:pStyle w:val="BodyText"/>
        <w:rPr/>
      </w:pPr>
      <w:r>
        <w:rPr/>
        <w:t xml:space="preserve">Заявка хранит актуальные даты; при переносе согласованного отпуска прежние даты лежат в </w:t>
      </w:r>
      <w:r>
        <w:rPr>
          <w:rStyle w:val="VerbatimChar"/>
        </w:rPr>
        <w:t>change_from_start</w:t>
      </w:r>
      <w:r>
        <w:rPr/>
        <w:t xml:space="preserve"> и </w:t>
      </w:r>
      <w:r>
        <w:rPr>
          <w:rStyle w:val="VerbatimChar"/>
        </w:rPr>
        <w:t>change_from_end</w:t>
      </w:r>
      <w:r>
        <w:rPr/>
        <w:t xml:space="preserve"> до решения руководителя, запрос удаления — флаг </w:t>
      </w:r>
      <w:r>
        <w:rPr>
          <w:rStyle w:val="VerbatimChar"/>
        </w:rPr>
        <w:t>pending_deletion</w:t>
      </w:r>
      <w:r>
        <w:rPr/>
        <w:t>. История действий по заявке (</w:t>
      </w:r>
      <w:r>
        <w:rPr>
          <w:rStyle w:val="VerbatimChar"/>
        </w:rPr>
        <w:t>request_events</w:t>
      </w:r>
      <w:r>
        <w:rPr/>
        <w:t>) только дополняется.</w:t>
      </w:r>
      <w:bookmarkEnd w:id="31"/>
    </w:p>
    <w:p>
      <w:pPr>
        <w:pStyle w:val="Heading2"/>
        <w:rPr/>
      </w:pPr>
      <w:bookmarkStart w:id="32" w:name="__RefHeading___Toc58584_1804324697"/>
      <w:bookmarkStart w:id="33" w:name="кадровый-учёт"/>
      <w:bookmarkEnd w:id="32"/>
      <w:r>
        <w:rPr>
          <w:rStyle w:val="SectionNumber"/>
        </w:rPr>
        <w:t>7.3</w:t>
      </w:r>
      <w:r>
        <w:rPr/>
        <w:tab/>
        <w:t>Кадровый учёт</w:t>
      </w:r>
    </w:p>
    <w:p>
      <w:pPr>
        <w:pStyle w:val="CaptionedFigure"/>
        <w:rPr/>
      </w:pPr>
      <w:r>
        <w:rPr/>
        <w:drawing>
          <wp:inline distT="0" distB="0" distL="0" distR="0">
            <wp:extent cx="5334000" cy="2908935"/>
            <wp:effectExtent l="0" t="0" r="0" b="0"/>
            <wp:docPr id="10" name="Image10" descr="ER-диаграмма: замещение, извещения, кампания и утверждённый график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10" descr="ER-диаграмма: замещение, извещения, кампания и утверждённый график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08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r>
        <w:rPr/>
        <w:t>ER-диаграмма: замещение, извещения, кампания и утверждённый график</w:t>
      </w:r>
    </w:p>
    <w:p>
      <w:pPr>
        <w:pStyle w:val="BodyText"/>
        <w:rPr/>
      </w:pPr>
      <w:r>
        <w:rPr/>
        <w:t>Утверждённый график (</w:t>
      </w:r>
      <w:r>
        <w:rPr>
          <w:rStyle w:val="VerbatimChar"/>
        </w:rPr>
        <w:t>schedule_approvals</w:t>
      </w:r>
      <w:r>
        <w:rPr/>
        <w:t>) — одна строка на год с реквизитами документа, мнением профсоюза и неизменяемым снимком строк графика в JSONB (ADR-016): повторная выгрузка формы Т-7 через год даёт тот же документ, а переносы и отмены после утверждения берутся из текущих заявок.</w:t>
      </w:r>
      <w:bookmarkEnd w:id="33"/>
    </w:p>
    <w:p>
      <w:pPr>
        <w:pStyle w:val="Heading2"/>
        <w:rPr/>
      </w:pPr>
      <w:bookmarkStart w:id="34" w:name="__RefHeading___Toc58586_1804324697"/>
      <w:bookmarkStart w:id="35" w:name="служебные-данные"/>
      <w:bookmarkEnd w:id="34"/>
      <w:r>
        <w:rPr>
          <w:rStyle w:val="SectionNumber"/>
        </w:rPr>
        <w:t>7.4</w:t>
      </w:r>
      <w:r>
        <w:rPr/>
        <w:tab/>
        <w:t>Служебные данные</w:t>
      </w:r>
    </w:p>
    <w:p>
      <w:pPr>
        <w:pStyle w:val="CaptionedFigure"/>
        <w:rPr/>
      </w:pPr>
      <w:r>
        <w:rPr/>
        <w:drawing>
          <wp:inline distT="0" distB="0" distL="0" distR="0">
            <wp:extent cx="5334000" cy="1400810"/>
            <wp:effectExtent l="0" t="0" r="0" b="0"/>
            <wp:docPr id="11" name="Image11" descr="ER-диаграмма: аудит, сеансы, настройки, календарь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11" descr="ER-диаграмма: аудит, сеансы, настройки, календарь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400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r>
        <w:rPr/>
        <w:t>ER-диаграмма: аудит, сеансы, настройки, календарь</w:t>
      </w:r>
    </w:p>
    <w:p>
      <w:pPr>
        <w:pStyle w:val="BodyText"/>
        <w:rPr/>
      </w:pPr>
      <w:r>
        <w:rPr/>
        <w:t xml:space="preserve">Сеанс — цепочка строк </w:t>
      </w:r>
      <w:r>
        <w:rPr>
          <w:rStyle w:val="VerbatimChar"/>
        </w:rPr>
        <w:t>refresh_tokens</w:t>
      </w:r>
      <w:r>
        <w:rPr/>
        <w:t xml:space="preserve"> с общим </w:t>
      </w:r>
      <w:r>
        <w:rPr>
          <w:rStyle w:val="VerbatimChar"/>
        </w:rPr>
        <w:t>session_id</w:t>
      </w:r>
      <w:r>
        <w:rPr/>
        <w:t xml:space="preserve">; в БД хранится только SHA-256 refresh-токена. Состояние входа (неудачные попытки подряд, блокировка) хранится в </w:t>
      </w:r>
      <w:r>
        <w:rPr>
          <w:rStyle w:val="VerbatimChar"/>
        </w:rPr>
        <w:t>login_state</w:t>
      </w:r>
      <w:r>
        <w:rPr/>
        <w:t xml:space="preserve"> отдельно от </w:t>
      </w:r>
      <w:r>
        <w:rPr>
          <w:rStyle w:val="VerbatimChar"/>
        </w:rPr>
        <w:t>employees</w:t>
      </w:r>
      <w:r>
        <w:rPr/>
        <w:t xml:space="preserve">, чтобы вход не менял версию данных графика. Таблица </w:t>
      </w:r>
      <w:r>
        <w:rPr>
          <w:rStyle w:val="VerbatimChar"/>
        </w:rPr>
        <w:t>login_attempts</w:t>
      </w:r>
      <w:r>
        <w:rPr/>
        <w:t xml:space="preserve"> нежурналируемая (</w:t>
      </w:r>
      <w:r>
        <w:rPr>
          <w:rStyle w:val="VerbatimChar"/>
        </w:rPr>
        <w:t>UNLOGGED</w:t>
      </w:r>
      <w:r>
        <w:rPr/>
        <w:t>): не пишется в WAL и не реплицируется — для минутных счётчиков это допустимо.</w:t>
      </w:r>
      <w:bookmarkEnd w:id="35"/>
    </w:p>
    <w:p>
      <w:pPr>
        <w:pStyle w:val="Heading2"/>
        <w:rPr/>
      </w:pPr>
      <w:bookmarkStart w:id="36" w:name="__RefHeading___Toc58588_1804324697"/>
      <w:bookmarkStart w:id="37" w:name="целостность-данных"/>
      <w:bookmarkEnd w:id="36"/>
      <w:r>
        <w:rPr>
          <w:rStyle w:val="SectionNumber"/>
        </w:rPr>
        <w:t>7.5</w:t>
      </w:r>
      <w:r>
        <w:rPr/>
        <w:tab/>
        <w:t>Целостность данных</w:t>
      </w:r>
    </w:p>
    <w:tbl>
      <w:tblPr>
        <w:tblStyle w:val="Table"/>
        <w:tblW w:w="5000" w:type="pct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Инвариант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Где обеспечивается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Ответ при нарушении</w:t>
            </w:r>
          </w:p>
        </w:tc>
      </w:tr>
      <w:tr>
        <w:trPr/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Активные заявки одного сотрудника не пересекаются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Сервис заявок под блокировкой строки сотрудника (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SELECT … FOR UPDATE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>)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409 overlapping-request</w:t>
            </w:r>
          </w:p>
        </w:tc>
      </w:tr>
      <w:tr>
        <w:trPr/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При жёсткой политике заявка не превышает доступный остаток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Сервис заявок под той же блокировкой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409 limit-exceeded</w:t>
            </w:r>
          </w:p>
        </w:tc>
      </w:tr>
      <w:tr>
        <w:trPr/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Решение по заявке применяется один раз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Блокировка строки заявки и повторное чтение в транзакции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409 stale-state</w:t>
            </w:r>
          </w:p>
        </w:tc>
      </w:tr>
      <w:tr>
        <w:trPr/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Изменение данных и запись журнала неразделимы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Одна транзакция Prisma; в API нет операций изменения и удаления журнала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—</w:t>
            </w:r>
          </w:p>
        </w:tc>
      </w:tr>
      <w:tr>
        <w:trPr/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В системе остаётся хотя бы один администратор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Сервис сотрудников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409 last-admin</w:t>
            </w:r>
          </w:p>
        </w:tc>
      </w:tr>
      <w:tr>
        <w:trPr/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Refresh-токен обменивается один раз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UPDATE … WHERE revoked_at IS NULL RETURNING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 в транзакции обновления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401</w:t>
            </w:r>
          </w:p>
        </w:tc>
      </w:tr>
      <w:tr>
        <w:trPr/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Одно извещение на заявку и дату начала, в том числе из разных процессов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Уникальный индекс,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INSERT … ON CONFLICT DO NOTHING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—</w:t>
            </w:r>
          </w:p>
        </w:tc>
      </w:tr>
      <w:tr>
        <w:trPr/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Письмо создаётся вместе с событием и отправляется один раз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Outbox в транзакции уведомления; разбор с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FOR UPDATE SKIP LOCKED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 и арендой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—</w:t>
            </w:r>
          </w:p>
        </w:tc>
      </w:tr>
      <w:tr>
        <w:trPr/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Версия данных растёт при любом изменении графика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Отложенные триггеры на таблицах графика при фиксации транзакции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—</w:t>
            </w:r>
          </w:p>
        </w:tc>
      </w:tr>
      <w:tr>
        <w:trPr/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Пароль не хранится и не возвращается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Только scrypt-хеш; DTO ответа без хеша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—</w:t>
            </w:r>
          </w:p>
        </w:tc>
      </w:tr>
    </w:tbl>
    <w:p>
      <w:pPr>
        <w:pStyle w:val="BodyText"/>
        <w:rPr/>
      </w:pPr>
      <w:bookmarkStart w:id="38" w:name="целостность-данных"/>
      <w:r>
        <w:rPr/>
        <w:t>Полный перечень инвариантов, индексов и правил изменения схемы — документ 4 «Модель данных»; состав полей — приложение А «Словарь данных».</w:t>
      </w:r>
      <w:bookmarkEnd w:id="38"/>
    </w:p>
    <w:p>
      <w:pPr>
        <w:pStyle w:val="Heading2"/>
        <w:rPr/>
      </w:pPr>
      <w:bookmarkStart w:id="39" w:name="__RefHeading___Toc58590_1804324697"/>
      <w:bookmarkStart w:id="40" w:name="жизненный-цикл-заявки"/>
      <w:bookmarkEnd w:id="39"/>
      <w:r>
        <w:rPr>
          <w:rStyle w:val="SectionNumber"/>
        </w:rPr>
        <w:t>7.6</w:t>
      </w:r>
      <w:r>
        <w:rPr/>
        <w:tab/>
        <w:t>Жизненный цикл заявки</w:t>
      </w:r>
    </w:p>
    <w:p>
      <w:pPr>
        <w:pStyle w:val="CaptionedFigure"/>
        <w:rPr/>
      </w:pPr>
      <w:r>
        <w:rPr/>
        <w:drawing>
          <wp:inline distT="0" distB="0" distL="0" distR="0">
            <wp:extent cx="5334000" cy="3489325"/>
            <wp:effectExtent l="0" t="0" r="0" b="0"/>
            <wp:docPr id="12" name="Image12" descr="Состояния заявк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12" descr="Состояния заявки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8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bookmarkStart w:id="41" w:name="модель-данных"/>
      <w:bookmarkStart w:id="42" w:name="жизненный-цикл-заявки"/>
      <w:r>
        <w:rPr/>
        <w:t>Состояния заявки</w:t>
      </w:r>
      <w:bookmarkEnd w:id="41"/>
      <w:bookmarkEnd w:id="42"/>
    </w:p>
    <w:p>
      <w:pPr>
        <w:pStyle w:val="Heading1"/>
        <w:rPr/>
      </w:pPr>
      <w:bookmarkStart w:id="43" w:name="__RefHeading___Toc58592_1804324697"/>
      <w:bookmarkStart w:id="44" w:name="ключевые-сценарии-взаимодействия"/>
      <w:bookmarkEnd w:id="43"/>
      <w:r>
        <w:rPr>
          <w:rStyle w:val="SectionNumber"/>
        </w:rPr>
        <w:t>8</w:t>
      </w:r>
      <w:r>
        <w:rPr/>
        <w:tab/>
        <w:t>Ключевые сценарии взаимодействия</w:t>
      </w:r>
    </w:p>
    <w:p>
      <w:pPr>
        <w:pStyle w:val="Heading2"/>
        <w:rPr/>
      </w:pPr>
      <w:bookmarkStart w:id="45" w:name="__RefHeading___Toc58594_1804324697"/>
      <w:bookmarkStart w:id="46" w:name="вход-и-продление-сеанса"/>
      <w:bookmarkEnd w:id="45"/>
      <w:r>
        <w:rPr>
          <w:rStyle w:val="SectionNumber"/>
        </w:rPr>
        <w:t>8.1</w:t>
      </w:r>
      <w:r>
        <w:rPr/>
        <w:tab/>
        <w:t>Вход и продление сеанса</w:t>
      </w:r>
    </w:p>
    <w:p>
      <w:pPr>
        <w:pStyle w:val="CaptionedFigure"/>
        <w:rPr/>
      </w:pPr>
      <w:r>
        <w:rPr/>
        <w:drawing>
          <wp:inline distT="0" distB="0" distL="0" distR="0">
            <wp:extent cx="5334000" cy="4933315"/>
            <wp:effectExtent l="0" t="0" r="0" b="0"/>
            <wp:docPr id="13" name="Image13" descr="Последовательность входа и обновления токен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13" descr="Последовательность входа и обновления токена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933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bookmarkStart w:id="47" w:name="вход-и-продление-сеанса"/>
      <w:r>
        <w:rPr/>
        <w:t>Последовательность входа и обновления токена</w:t>
      </w:r>
      <w:bookmarkEnd w:id="47"/>
    </w:p>
    <w:p>
      <w:pPr>
        <w:pStyle w:val="Heading2"/>
        <w:rPr/>
      </w:pPr>
      <w:bookmarkStart w:id="48" w:name="__RefHeading___Toc58596_1804324697"/>
      <w:bookmarkStart w:id="49" w:name="подача-заявки"/>
      <w:bookmarkEnd w:id="48"/>
      <w:r>
        <w:rPr>
          <w:rStyle w:val="SectionNumber"/>
        </w:rPr>
        <w:t>8.2</w:t>
      </w:r>
      <w:r>
        <w:rPr/>
        <w:tab/>
        <w:t>Подача заявки</w:t>
      </w:r>
    </w:p>
    <w:p>
      <w:pPr>
        <w:pStyle w:val="CaptionedFigure"/>
        <w:rPr/>
      </w:pPr>
      <w:r>
        <w:rPr/>
        <w:drawing>
          <wp:inline distT="0" distB="0" distL="0" distR="0">
            <wp:extent cx="5334000" cy="4330700"/>
            <wp:effectExtent l="0" t="0" r="0" b="0"/>
            <wp:docPr id="14" name="Image14" descr="Создание заявки: проверки и транзакци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14" descr="Создание заявки: проверки и транзакция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33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r>
        <w:rPr/>
        <w:t>Создание заявки: проверки и транзакция</w:t>
      </w:r>
    </w:p>
    <w:p>
      <w:pPr>
        <w:pStyle w:val="BodyText"/>
        <w:rPr/>
      </w:pPr>
      <w:bookmarkStart w:id="50" w:name="подача-заявки"/>
      <w:r>
        <w:rPr/>
        <w:t>Сервер проверяет права, формат и порядок дат, «не в прошлом» (кроме администратора), пересечения с заявками сотрудника и лимит дней; заявка, событие истории, запись аудита и уведомление согласующему фиксируются одной транзакцией. Из двух одновременно отправленных пересекающихся заявок создаётся ровно одна.</w:t>
      </w:r>
      <w:bookmarkEnd w:id="50"/>
    </w:p>
    <w:p>
      <w:pPr>
        <w:pStyle w:val="Heading2"/>
        <w:rPr/>
      </w:pPr>
      <w:bookmarkStart w:id="51" w:name="__RefHeading___Toc58598_1804324697"/>
      <w:bookmarkStart w:id="52" w:name="согласование-и-отклонение"/>
      <w:bookmarkEnd w:id="51"/>
      <w:r>
        <w:rPr>
          <w:rStyle w:val="SectionNumber"/>
        </w:rPr>
        <w:t>8.3</w:t>
      </w:r>
      <w:r>
        <w:rPr/>
        <w:tab/>
        <w:t>Согласование и отклонение</w:t>
      </w:r>
    </w:p>
    <w:p>
      <w:pPr>
        <w:pStyle w:val="CaptionedFigure"/>
        <w:rPr/>
      </w:pPr>
      <w:r>
        <w:rPr/>
        <w:drawing>
          <wp:inline distT="0" distB="0" distL="0" distR="0">
            <wp:extent cx="5334000" cy="5668645"/>
            <wp:effectExtent l="0" t="0" r="0" b="0"/>
            <wp:docPr id="15" name="Image15" descr="Решение руководител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15" descr="Решение руководителя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668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r>
        <w:rPr/>
        <w:t>Решение руководителя</w:t>
      </w:r>
    </w:p>
    <w:p>
      <w:pPr>
        <w:pStyle w:val="BodyText"/>
        <w:rPr/>
      </w:pPr>
      <w:r>
        <w:rPr/>
        <w:t xml:space="preserve">Отклонение требует причины (3–1000 символов). Для переноса отклонение возвращает прежние даты, для запроса удаления — оставляет отпуск согласованным. Из двух одновременных решений применяется одно, второе получает </w:t>
      </w:r>
      <w:r>
        <w:rPr>
          <w:rStyle w:val="VerbatimChar"/>
        </w:rPr>
        <w:t>409 stale-state</w:t>
      </w:r>
      <w:r>
        <w:rPr/>
        <w:t>.</w:t>
      </w:r>
      <w:bookmarkEnd w:id="52"/>
    </w:p>
    <w:p>
      <w:pPr>
        <w:pStyle w:val="Heading2"/>
        <w:rPr/>
      </w:pPr>
      <w:bookmarkStart w:id="53" w:name="__RefHeading___Toc58600_1804324697"/>
      <w:bookmarkStart w:id="54" w:name="построение-графика"/>
      <w:bookmarkEnd w:id="53"/>
      <w:r>
        <w:rPr>
          <w:rStyle w:val="SectionNumber"/>
        </w:rPr>
        <w:t>8.4</w:t>
      </w:r>
      <w:r>
        <w:rPr/>
        <w:tab/>
        <w:t>Построение графика</w:t>
      </w:r>
    </w:p>
    <w:p>
      <w:pPr>
        <w:pStyle w:val="CaptionedFigure"/>
        <w:rPr/>
      </w:pPr>
      <w:r>
        <w:rPr/>
        <w:drawing>
          <wp:inline distT="0" distB="0" distL="0" distR="0">
            <wp:extent cx="5334000" cy="6595110"/>
            <wp:effectExtent l="0" t="0" r="0" b="0"/>
            <wp:docPr id="16" name="Image16" descr="Загрузка графика с конфликтами отделов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16" descr="Загрузка графика с конфликтами отделов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595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bookmarkStart w:id="55" w:name="ключевые-сценарии-взаимодействия"/>
      <w:bookmarkStart w:id="56" w:name="построение-графика"/>
      <w:r>
        <w:rPr/>
        <w:t>Загрузка графика с конфликтами отделов</w:t>
      </w:r>
      <w:bookmarkEnd w:id="55"/>
      <w:bookmarkEnd w:id="56"/>
    </w:p>
    <w:p>
      <w:pPr>
        <w:pStyle w:val="Heading1"/>
        <w:rPr/>
      </w:pPr>
      <w:bookmarkStart w:id="57" w:name="__RefHeading___Toc58602_1804324697"/>
      <w:bookmarkEnd w:id="57"/>
      <w:r>
        <w:rPr>
          <w:rStyle w:val="SectionNumber"/>
        </w:rPr>
        <w:t>9</w:t>
      </w:r>
      <w:r>
        <w:rPr/>
        <w:tab/>
        <w:t>Программные интерфейсы</w:t>
      </w:r>
    </w:p>
    <w:p>
      <w:pPr>
        <w:pStyle w:val="FirstParagraph"/>
        <w:rPr/>
      </w:pPr>
      <w:r>
        <w:rPr/>
        <w:t xml:space="preserve">REST API v1 доступен по префиксу </w:t>
      </w:r>
      <w:r>
        <w:rPr>
          <w:rStyle w:val="VerbatimChar"/>
        </w:rPr>
        <w:t>/api/v1</w:t>
      </w:r>
      <w:r>
        <w:rPr/>
        <w:t xml:space="preserve">; обмен — JSON в кодировке UTF-8, загрузка файлов импорта — </w:t>
      </w:r>
      <w:r>
        <w:rPr>
          <w:rStyle w:val="VerbatimChar"/>
        </w:rPr>
        <w:t>multipart/form-data</w:t>
      </w:r>
      <w:r>
        <w:rPr/>
        <w:t xml:space="preserve"> (до 2 МБ). Формальный контракт — </w:t>
      </w:r>
      <w:r>
        <w:rPr>
          <w:rStyle w:val="VerbatimChar"/>
        </w:rPr>
        <w:t>contracts/openapi-vacation-api-v1.yaml</w:t>
      </w:r>
      <w:r>
        <w:rPr/>
        <w:t xml:space="preserve"> (OpenAPI 3.1); сервер публикует интерактивную спецификацию реализации на </w:t>
      </w:r>
      <w:r>
        <w:rPr>
          <w:rStyle w:val="VerbatimChar"/>
        </w:rPr>
        <w:t>/api/docs</w:t>
      </w:r>
      <w:r>
        <w:rPr/>
        <w:t>. Основные правила протокола:</w:t>
      </w:r>
    </w:p>
    <w:tbl>
      <w:tblPr>
        <w:tblStyle w:val="Table"/>
        <w:tblW w:w="5000" w:type="pct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4679"/>
        <w:gridCol w:w="4680"/>
      </w:tblGrid>
      <w:tr>
        <w:trPr>
          <w:tblHeader w:val="true"/>
        </w:trPr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Правило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Содержание</w:t>
            </w:r>
          </w:p>
        </w:tc>
      </w:tr>
      <w:tr>
        <w:trPr/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Аутентификация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Заголовок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Authorization: Bearer &lt;access JWT&gt;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; refresh-токен передаётся только httpOnly-cookie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vp_refresh</w:t>
            </w:r>
          </w:p>
        </w:tc>
      </w:tr>
      <w:tr>
        <w:trPr/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Публичные операции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Вход, обновление токена по cookie, политика паролей, операции единого входа, поток событий по билету, праздники года; остальные операции требуют входа</w:t>
            </w:r>
          </w:p>
        </w:tc>
      </w:tr>
      <w:tr>
        <w:trPr/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Пагинация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page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 (с 1) и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per_page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 (1–200, по умолчанию 50); ответ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{ items, meta }</w:t>
            </w:r>
          </w:p>
        </w:tc>
      </w:tr>
      <w:tr>
        <w:trPr/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Изменения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PATCH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 только с изменяемыми полями; неизвестные поля запроса отбрасываются, клиент игнорирует неизвестные поля ответа</w:t>
            </w:r>
          </w:p>
        </w:tc>
      </w:tr>
      <w:tr>
        <w:trPr/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Ошибки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Только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application/problem+json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 (RFC 9457) с кодом из каталога; перегрузка или недоступность БД —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503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 с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Retry-After</w:t>
            </w:r>
          </w:p>
        </w:tc>
      </w:tr>
      <w:tr>
        <w:trPr/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Кэширование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GET /schedule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 отдаёт слабый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ETag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 по версии данных; запрос с совпадающим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If-None-Match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 получает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304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 без тела</w:t>
            </w:r>
          </w:p>
        </w:tc>
      </w:tr>
      <w:tr>
        <w:trPr/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Ограничение тяжёлых чтений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График — не длиннее 370 дней, график работы и подбор дат — не длиннее 400 дней</w:t>
            </w:r>
          </w:p>
        </w:tc>
      </w:tr>
      <w:tr>
        <w:trPr/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Версионирование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Версия — в префиксе пути. Несовместимое изменение — новый префикс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/api/v2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>, обе версии работают не меньше 6 месяцев; добавляющие изменения — в рамках v1</w:t>
            </w:r>
          </w:p>
        </w:tc>
      </w:tr>
    </w:tbl>
    <w:p>
      <w:pPr>
        <w:pStyle w:val="BodyText"/>
        <w:rPr/>
      </w:pPr>
      <w:r>
        <w:rPr/>
        <w:t xml:space="preserve">Служебные адреса вне контракта: </w:t>
      </w:r>
      <w:r>
        <w:rPr>
          <w:rStyle w:val="VerbatimChar"/>
        </w:rPr>
        <w:t>GET /healthz</w:t>
      </w:r>
      <w:r>
        <w:rPr/>
        <w:t xml:space="preserve"> (процесс жив), </w:t>
      </w:r>
      <w:r>
        <w:rPr>
          <w:rStyle w:val="VerbatimChar"/>
        </w:rPr>
        <w:t>GET /readyz</w:t>
      </w:r>
      <w:r>
        <w:rPr/>
        <w:t xml:space="preserve"> (доступна БД), </w:t>
      </w:r>
      <w:r>
        <w:rPr>
          <w:rStyle w:val="VerbatimChar"/>
        </w:rPr>
        <w:t>GET /metrics</w:t>
      </w:r>
      <w:r>
        <w:rPr/>
        <w:t xml:space="preserve"> (метрики Prometheus, при заданном </w:t>
      </w:r>
      <w:r>
        <w:rPr>
          <w:rStyle w:val="VerbatimChar"/>
        </w:rPr>
        <w:t>METRICS_TOKEN</w:t>
      </w:r>
      <w:r>
        <w:rPr/>
        <w:t xml:space="preserve"> — с Bearer-токеном). Через nginx стенда они наружу не публикуются.</w:t>
      </w:r>
    </w:p>
    <w:p>
      <w:pPr>
        <w:pStyle w:val="BodyText"/>
        <w:rPr/>
      </w:pPr>
      <w:r>
        <w:rPr/>
        <w:t>Полный каталог операций сформирован из контракта; права по ролям — подраздел «Модель авторизации» раздела «Информационная безопасность», права на каждое действие — матрица прав документа 2 «Спецификация API v1».</w:t>
      </w:r>
    </w:p>
    <w:p>
      <w:pPr>
        <w:pStyle w:val="BodyText"/>
        <w:rPr/>
      </w:pPr>
      <w:r>
        <w:rPr/>
        <w:t xml:space="preserve">Всего операций: </w:t>
      </w:r>
      <w:r>
        <w:rPr>
          <w:b/>
          <w:bCs/>
        </w:rPr>
        <w:t>83</w:t>
      </w:r>
      <w:r>
        <w:rPr/>
        <w:t xml:space="preserve"> в 67 путях; формат — JSON, ошибки — </w:t>
      </w:r>
      <w:r>
        <w:rPr>
          <w:rStyle w:val="VerbatimChar"/>
        </w:rPr>
        <w:t>application/problem+json</w:t>
      </w:r>
      <w:r>
        <w:rPr/>
        <w:t>.</w:t>
      </w:r>
    </w:p>
    <w:p>
      <w:pPr>
        <w:pStyle w:val="BodyText"/>
        <w:rPr/>
      </w:pPr>
      <w:r>
        <w:rPr>
          <w:b/>
          <w:bCs/>
        </w:rPr>
        <w:t>Вход и сессии</w:t>
      </w:r>
      <w:r>
        <w:rPr/>
        <w:t xml:space="preserve"> (13)</w:t>
      </w:r>
    </w:p>
    <w:tbl>
      <w:tblPr>
        <w:tblStyle w:val="Table"/>
        <w:tblW w:w="5000" w:type="pct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339"/>
        <w:gridCol w:w="2340"/>
        <w:gridCol w:w="2340"/>
        <w:gridCol w:w="2340"/>
      </w:tblGrid>
      <w:tr>
        <w:trPr>
          <w:tblHeader w:val="true"/>
        </w:trPr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Метод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Путь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Назначение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Операция</w:t>
            </w:r>
          </w:p>
        </w:tc>
      </w:tr>
      <w:tr>
        <w:trPr/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POST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/api/v1/auth/login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Вход по логину и паролю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login</w:t>
            </w:r>
          </w:p>
        </w:tc>
      </w:tr>
      <w:tr>
        <w:trPr/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POST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/api/v1/auth/refresh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Новый access-токен по refresh-cookie (ротация; старый refresh отзывается)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refresh</w:t>
            </w:r>
          </w:p>
        </w:tc>
      </w:tr>
      <w:tr>
        <w:trPr/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POST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/api/v1/auth/password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Смена своего пароля (все сессии завершаются)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changeOwnPassword</w:t>
            </w:r>
          </w:p>
        </w:tc>
      </w:tr>
      <w:tr>
        <w:trPr/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GET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/api/v1/auth/password-policy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Требования к паролю — минимальная длина (для форм смены пароля)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getPasswordPolicy</w:t>
            </w:r>
          </w:p>
        </w:tc>
      </w:tr>
      <w:tr>
        <w:trPr/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GET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/api/v1/auth/sessions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Мои активные сеансы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listMySessions</w:t>
            </w:r>
          </w:p>
        </w:tc>
      </w:tr>
      <w:tr>
        <w:trPr/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DELETE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/api/v1/auth/sessions/{id}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Завершить свой сеанс (текущий — как выход)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revokeMySession</w:t>
            </w:r>
          </w:p>
        </w:tc>
      </w:tr>
      <w:tr>
        <w:trPr/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POST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/api/v1/auth/sessions/revoke-others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Завершить все свои сеансы, кроме текущего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revokeOtherSessions</w:t>
            </w:r>
          </w:p>
        </w:tc>
      </w:tr>
      <w:tr>
        <w:trPr/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POST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/api/v1/auth/logout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Завершить сессию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logout</w:t>
            </w:r>
          </w:p>
        </w:tc>
      </w:tr>
      <w:tr>
        <w:trPr/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GET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/api/v1/auth/me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Текущий пользователь и его права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getMe</w:t>
            </w:r>
          </w:p>
        </w:tc>
      </w:tr>
      <w:tr>
        <w:trPr/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PATCH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/api/v1/auth/me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Личные настройки — письма о заявках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updateMyPreferences</w:t>
            </w:r>
          </w:p>
        </w:tc>
      </w:tr>
      <w:tr>
        <w:trPr/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GET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/api/v1/auth/oidc/config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Единый вход — включён ли, подпись кнопки, разрешён ли вход по паролю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getSsoConfig</w:t>
            </w:r>
          </w:p>
        </w:tc>
      </w:tr>
      <w:tr>
        <w:trPr/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GET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/api/v1/auth/oidc/start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Начать вход через провайдер OpenID Connect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startSso</w:t>
            </w:r>
          </w:p>
        </w:tc>
      </w:tr>
      <w:tr>
        <w:trPr/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GET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/api/v1/auth/oidc/callback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Возврат от провайдера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ssoCallback</w:t>
            </w:r>
          </w:p>
        </w:tc>
      </w:tr>
    </w:tbl>
    <w:p>
      <w:pPr>
        <w:pStyle w:val="BodyText"/>
        <w:rPr/>
      </w:pPr>
      <w:r>
        <w:rPr>
          <w:b/>
          <w:bCs/>
        </w:rPr>
        <w:t>Аудит</w:t>
      </w:r>
      <w:r>
        <w:rPr/>
        <w:t xml:space="preserve"> (2)</w:t>
      </w:r>
    </w:p>
    <w:tbl>
      <w:tblPr>
        <w:tblStyle w:val="Table"/>
        <w:tblW w:w="5000" w:type="pct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339"/>
        <w:gridCol w:w="2340"/>
        <w:gridCol w:w="2340"/>
        <w:gridCol w:w="2340"/>
      </w:tblGrid>
      <w:tr>
        <w:trPr>
          <w:tblHeader w:val="true"/>
        </w:trPr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Метод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Путь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Назначение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Операция</w:t>
            </w:r>
          </w:p>
        </w:tc>
      </w:tr>
      <w:tr>
        <w:trPr/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GET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/api/v1/login-events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Журнал входов (администратор, кадровая служба)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listLoginEvents</w:t>
            </w:r>
          </w:p>
        </w:tc>
      </w:tr>
      <w:tr>
        <w:trPr/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GET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/api/v1/audit-events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Журнал изменений (администратор, кадровая служба)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listAuditEvents</w:t>
            </w:r>
          </w:p>
        </w:tc>
      </w:tr>
    </w:tbl>
    <w:p>
      <w:pPr>
        <w:pStyle w:val="BodyText"/>
        <w:rPr/>
      </w:pPr>
      <w:r>
        <w:rPr>
          <w:b/>
          <w:bCs/>
        </w:rPr>
        <w:t>Замещение</w:t>
      </w:r>
      <w:r>
        <w:rPr/>
        <w:t xml:space="preserve"> (3)</w:t>
      </w:r>
    </w:p>
    <w:tbl>
      <w:tblPr>
        <w:tblStyle w:val="Table"/>
        <w:tblW w:w="5000" w:type="pct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339"/>
        <w:gridCol w:w="2340"/>
        <w:gridCol w:w="2340"/>
        <w:gridCol w:w="2340"/>
      </w:tblGrid>
      <w:tr>
        <w:trPr>
          <w:tblHeader w:val="true"/>
        </w:trPr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Метод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Путь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Назначение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Операция</w:t>
            </w:r>
          </w:p>
        </w:tc>
      </w:tr>
      <w:tr>
        <w:trPr/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GET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/api/v1/delegations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Замещения: переданные мной и полученные мной (действующие и будущие)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listDelegations</w:t>
            </w:r>
          </w:p>
        </w:tc>
      </w:tr>
      <w:tr>
        <w:trPr/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POST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/api/v1/delegations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Передать согласование заместителю на период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createDelegation</w:t>
            </w:r>
          </w:p>
        </w:tc>
      </w:tr>
      <w:tr>
        <w:trPr/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DELETE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/api/v1/delegations/{id}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Отменить замещение (руководитель или кадровая служба)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revokeDelegation</w:t>
            </w:r>
          </w:p>
        </w:tc>
      </w:tr>
    </w:tbl>
    <w:p>
      <w:pPr>
        <w:pStyle w:val="BodyText"/>
        <w:rPr/>
      </w:pPr>
      <w:r>
        <w:rPr>
          <w:b/>
          <w:bCs/>
        </w:rPr>
        <w:t>Извещения</w:t>
      </w:r>
      <w:r>
        <w:rPr/>
        <w:t xml:space="preserve"> (4)</w:t>
      </w:r>
    </w:p>
    <w:tbl>
      <w:tblPr>
        <w:tblStyle w:val="Table"/>
        <w:tblW w:w="5000" w:type="pct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339"/>
        <w:gridCol w:w="2340"/>
        <w:gridCol w:w="2340"/>
        <w:gridCol w:w="2340"/>
      </w:tblGrid>
      <w:tr>
        <w:trPr>
          <w:tblHeader w:val="true"/>
        </w:trPr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Метод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Путь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Назначение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Операция</w:t>
            </w:r>
          </w:p>
        </w:tc>
      </w:tr>
      <w:tr>
        <w:trPr/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GET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/api/v1/notices/mine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Мои действующие извещения о начале отпуска (предстоящие и за последние 90 дней)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listMyNotices</w:t>
            </w:r>
          </w:p>
        </w:tc>
      </w:tr>
      <w:tr>
        <w:trPr/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GET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/api/v1/notices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Журнал извещений (кадровая служба, администратор)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listNotices</w:t>
            </w:r>
          </w:p>
        </w:tc>
      </w:tr>
      <w:tr>
        <w:trPr/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GET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/api/v1/notices/{id}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Извещение для печати под подпись (сотрудник — своё, кадровая служба — любое)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getNotice</w:t>
            </w:r>
          </w:p>
        </w:tc>
      </w:tr>
      <w:tr>
        <w:trPr/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POST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/api/v1/notices/{id}/acknowledge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Ознакомлен с извещением (только сам сотрудник)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acknowledgeNotice</w:t>
            </w:r>
          </w:p>
        </w:tc>
      </w:tr>
    </w:tbl>
    <w:p>
      <w:pPr>
        <w:pStyle w:val="BodyText"/>
        <w:rPr/>
      </w:pPr>
      <w:r>
        <w:rPr>
          <w:b/>
          <w:bCs/>
        </w:rPr>
        <w:t>Планирование и форма Т-7</w:t>
      </w:r>
      <w:r>
        <w:rPr/>
        <w:t xml:space="preserve"> (7)</w:t>
      </w:r>
    </w:p>
    <w:tbl>
      <w:tblPr>
        <w:tblStyle w:val="Table"/>
        <w:tblW w:w="5000" w:type="pct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339"/>
        <w:gridCol w:w="2340"/>
        <w:gridCol w:w="2340"/>
        <w:gridCol w:w="2340"/>
      </w:tblGrid>
      <w:tr>
        <w:trPr>
          <w:tblHeader w:val="true"/>
        </w:trPr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Метод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Путь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Назначение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Операция</w:t>
            </w:r>
          </w:p>
        </w:tc>
      </w:tr>
      <w:tr>
        <w:trPr/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GET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/api/v1/planning/mine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Открытая кампания планирования и мой прогресс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getMyPlanning</w:t>
            </w:r>
          </w:p>
        </w:tc>
      </w:tr>
      <w:tr>
        <w:trPr/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GET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/api/v1/planning/{year}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Кампания, утверждение и прогресс по отделам (кадровая служба, администратор)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getPlanning</w:t>
            </w:r>
          </w:p>
        </w:tc>
      </w:tr>
      <w:tr>
        <w:trPr/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GET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/api/v1/planning/{year}/employees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Прогресс планирования по сотрудникам (кадровая служба)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listPlanningEmployees</w:t>
            </w:r>
          </w:p>
        </w:tc>
      </w:tr>
      <w:tr>
        <w:trPr/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POST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/api/v1/planning/{year}/open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Открыть планирование на год, открыть снова или изменить срок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openPlanning</w:t>
            </w:r>
          </w:p>
        </w:tc>
      </w:tr>
      <w:tr>
        <w:trPr/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POST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/api/v1/planning/{year}/close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Закрыть планирование (planning.closed в аудите)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closePlanning</w:t>
            </w:r>
          </w:p>
        </w:tc>
      </w:tr>
      <w:tr>
        <w:trPr/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POST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/api/v1/planning/{year}/remind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Напомнить не спланировавшим отпуск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remindPlanning</w:t>
            </w:r>
          </w:p>
        </w:tc>
      </w:tr>
      <w:tr>
        <w:trPr/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POST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/api/v1/planning/{year}/approve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Утвердить график отпусков на год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approveSchedule</w:t>
            </w:r>
          </w:p>
        </w:tc>
      </w:tr>
    </w:tbl>
    <w:p>
      <w:pPr>
        <w:pStyle w:val="BodyText"/>
        <w:rPr/>
      </w:pPr>
      <w:r>
        <w:rPr>
          <w:b/>
          <w:bCs/>
        </w:rPr>
        <w:t>Сотрудники</w:t>
      </w:r>
      <w:r>
        <w:rPr/>
        <w:t xml:space="preserve"> (10)</w:t>
      </w:r>
    </w:p>
    <w:tbl>
      <w:tblPr>
        <w:tblStyle w:val="Table"/>
        <w:tblW w:w="5000" w:type="pct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339"/>
        <w:gridCol w:w="2340"/>
        <w:gridCol w:w="2340"/>
        <w:gridCol w:w="2340"/>
      </w:tblGrid>
      <w:tr>
        <w:trPr>
          <w:tblHeader w:val="true"/>
        </w:trPr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Метод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Путь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Назначение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Операция</w:t>
            </w:r>
          </w:p>
        </w:tc>
      </w:tr>
      <w:tr>
        <w:trPr/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GET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/api/v1/employees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Список сотрудников (постранично, с фильтрами)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listEmployees</w:t>
            </w:r>
          </w:p>
        </w:tc>
      </w:tr>
      <w:tr>
        <w:trPr/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POST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/api/v1/employees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Создать сотрудника (кадровая служба, администратор; служебные права выдаёт администратор)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createEmployee</w:t>
            </w:r>
          </w:p>
        </w:tc>
      </w:tr>
      <w:tr>
        <w:trPr/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GET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/api/v1/employees/{id}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Карточка сотрудника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getEmployee</w:t>
            </w:r>
          </w:p>
        </w:tc>
      </w:tr>
      <w:tr>
        <w:trPr/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PATCH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/api/v1/employees/{id}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Изменить поля сотрудника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updateEmployee</w:t>
            </w:r>
          </w:p>
        </w:tc>
      </w:tr>
      <w:tr>
        <w:trPr/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DELETE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/api/v1/employees/{id}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Уволить/удалить сотрудника (кадровая служба — кроме администраторов и коллег по службе; администратор)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deleteEmployee</w:t>
            </w:r>
          </w:p>
        </w:tc>
      </w:tr>
      <w:tr>
        <w:trPr/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PUT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/api/v1/employees/{id}/password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Смена пароля (свой — со старым; чужой — кадровая служба, пароль одноразовый)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changePassword</w:t>
            </w:r>
          </w:p>
        </w:tc>
      </w:tr>
      <w:tr>
        <w:trPr/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POST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/api/v1/employees/{id}/password-reset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Сброс пароля — сервер выдаёт одноразовый пароль (кадровая служба)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resetPassword</w:t>
            </w:r>
          </w:p>
        </w:tc>
      </w:tr>
      <w:tr>
        <w:trPr/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GET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/api/v1/employees/{id}/security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Учётная запись: последний вход, блокировка, одноразовый пароль, сеансы (кадровая служба)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getEmployeeSecurity</w:t>
            </w:r>
          </w:p>
        </w:tc>
      </w:tr>
      <w:tr>
        <w:trPr/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POST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/api/v1/employees/{id}/unlock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Снять блокировку после неудачных попыток входа (кадровая служба)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unlockEmployee</w:t>
            </w:r>
          </w:p>
        </w:tc>
      </w:tr>
      <w:tr>
        <w:trPr/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POST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/api/v1/employees/{id}/sessions/revoke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Завершить все сеансы сотрудника (кадровая служба)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revokeEmployeeSessions</w:t>
            </w:r>
          </w:p>
        </w:tc>
      </w:tr>
    </w:tbl>
    <w:p>
      <w:pPr>
        <w:pStyle w:val="BodyText"/>
        <w:rPr/>
      </w:pPr>
      <w:r>
        <w:rPr>
          <w:b/>
          <w:bCs/>
        </w:rPr>
        <w:t>Баланс</w:t>
      </w:r>
      <w:r>
        <w:rPr/>
        <w:t xml:space="preserve"> (1)</w:t>
      </w:r>
    </w:p>
    <w:tbl>
      <w:tblPr>
        <w:tblStyle w:val="Table"/>
        <w:tblW w:w="5000" w:type="pct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339"/>
        <w:gridCol w:w="2340"/>
        <w:gridCol w:w="2340"/>
        <w:gridCol w:w="2340"/>
      </w:tblGrid>
      <w:tr>
        <w:trPr>
          <w:tblHeader w:val="true"/>
        </w:trPr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Метод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Путь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Назначение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Операция</w:t>
            </w:r>
          </w:p>
        </w:tc>
      </w:tr>
      <w:tr>
        <w:trPr/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GET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/api/v1/employees/{id}/balance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Баланс дней отпуска за год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getBalance</w:t>
            </w:r>
          </w:p>
        </w:tc>
      </w:tr>
    </w:tbl>
    <w:p>
      <w:pPr>
        <w:pStyle w:val="BodyText"/>
        <w:rPr/>
      </w:pPr>
      <w:r>
        <w:rPr>
          <w:b/>
          <w:bCs/>
        </w:rPr>
        <w:t>График и режим работы</w:t>
      </w:r>
      <w:r>
        <w:rPr/>
        <w:t xml:space="preserve"> (5)</w:t>
      </w:r>
    </w:p>
    <w:tbl>
      <w:tblPr>
        <w:tblStyle w:val="Table"/>
        <w:tblW w:w="5000" w:type="pct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339"/>
        <w:gridCol w:w="2340"/>
        <w:gridCol w:w="2340"/>
        <w:gridCol w:w="2340"/>
      </w:tblGrid>
      <w:tr>
        <w:trPr>
          <w:tblHeader w:val="true"/>
        </w:trPr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Метод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Путь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Назначение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Операция</w:t>
            </w:r>
          </w:p>
        </w:tc>
      </w:tr>
      <w:tr>
        <w:trPr/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PUT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/api/v1/employees/{id}/work-pattern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Недельный шаблон офис/удалёнка (свой или подчинённый)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setWorkPattern</w:t>
            </w:r>
          </w:p>
        </w:tc>
      </w:tr>
      <w:tr>
        <w:trPr/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PUT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/api/v1/employees/{id}/work-overrides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Ручное переопределение режима на дату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setWorkOverride</w:t>
            </w:r>
          </w:p>
        </w:tc>
      </w:tr>
      <w:tr>
        <w:trPr/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GET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/api/v1/employees/{id}/work-schedule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График работы — недельный шаблон и исключения за период (с v0.3.0)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getWorkSchedule</w:t>
            </w:r>
          </w:p>
        </w:tc>
      </w:tr>
      <w:tr>
        <w:trPr/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DELETE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/api/v1/employees/{id}/work-overrides/{date}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Снять исключение — на дату снова действует недельный шаблон (с v0.3.0)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deleteWorkOverride</w:t>
            </w:r>
          </w:p>
        </w:tc>
      </w:tr>
      <w:tr>
        <w:trPr/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GET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/api/v1/schedule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График отпусков и режимов за период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getSchedule</w:t>
            </w:r>
          </w:p>
        </w:tc>
      </w:tr>
    </w:tbl>
    <w:p>
      <w:pPr>
        <w:pStyle w:val="BodyText"/>
        <w:rPr/>
      </w:pPr>
      <w:r>
        <w:rPr>
          <w:b/>
          <w:bCs/>
        </w:rPr>
        <w:t>Заявки на отпуск</w:t>
      </w:r>
      <w:r>
        <w:rPr/>
        <w:t xml:space="preserve"> (7)</w:t>
      </w:r>
    </w:p>
    <w:tbl>
      <w:tblPr>
        <w:tblStyle w:val="Table"/>
        <w:tblW w:w="5000" w:type="pct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339"/>
        <w:gridCol w:w="2340"/>
        <w:gridCol w:w="2340"/>
        <w:gridCol w:w="2340"/>
      </w:tblGrid>
      <w:tr>
        <w:trPr>
          <w:tblHeader w:val="true"/>
        </w:trPr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Метод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Путь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Назначение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Операция</w:t>
            </w:r>
          </w:p>
        </w:tc>
      </w:tr>
      <w:tr>
        <w:trPr/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GET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/api/v1/vacation-requests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Заявки (свои, подчинённых или все — по правам)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listVacationRequests</w:t>
            </w:r>
          </w:p>
        </w:tc>
      </w:tr>
      <w:tr>
        <w:trPr/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POST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/api/v1/vacation-requests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Создать заявку (за себя или за подчинённого)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createVacationRequest</w:t>
            </w:r>
          </w:p>
        </w:tc>
      </w:tr>
      <w:tr>
        <w:trPr/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GET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/api/v1/vacation-requests/{id}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Заявка с историей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getVacationRequest</w:t>
            </w:r>
          </w:p>
        </w:tc>
      </w:tr>
      <w:tr>
        <w:trPr/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PATCH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/api/v1/vacation-requests/{id}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Изменить свою pending-заявку или запросить перенос approved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updateVacationRequest</w:t>
            </w:r>
          </w:p>
        </w:tc>
      </w:tr>
      <w:tr>
        <w:trPr/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DELETE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/api/v1/vacation-requests/{id}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Отменить свою pending-заявку или запросить удаление approved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cancelVacationRequest</w:t>
            </w:r>
          </w:p>
        </w:tc>
      </w:tr>
      <w:tr>
        <w:trPr/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POST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/api/v1/vacation-requests/{id}/approve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Согласовать (руководитель сотрудника или администратор)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approveVacationRequest</w:t>
            </w:r>
          </w:p>
        </w:tc>
      </w:tr>
      <w:tr>
        <w:trPr/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POST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/api/v1/vacation-requests/{id}/reject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Отклонить с обязательным комментарием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rejectVacationRequest</w:t>
            </w:r>
          </w:p>
        </w:tc>
      </w:tr>
    </w:tbl>
    <w:p>
      <w:pPr>
        <w:pStyle w:val="BodyText"/>
        <w:rPr/>
      </w:pPr>
      <w:r>
        <w:rPr>
          <w:b/>
          <w:bCs/>
        </w:rPr>
        <w:t>Справочники</w:t>
      </w:r>
      <w:r>
        <w:rPr/>
        <w:t xml:space="preserve"> (12)</w:t>
      </w:r>
    </w:p>
    <w:tbl>
      <w:tblPr>
        <w:tblStyle w:val="Table"/>
        <w:tblW w:w="5000" w:type="pct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339"/>
        <w:gridCol w:w="2340"/>
        <w:gridCol w:w="2340"/>
        <w:gridCol w:w="2340"/>
      </w:tblGrid>
      <w:tr>
        <w:trPr>
          <w:tblHeader w:val="true"/>
        </w:trPr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Метод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Путь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Назначение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Операция</w:t>
            </w:r>
          </w:p>
        </w:tc>
      </w:tr>
      <w:tr>
        <w:trPr/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GET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/api/v1/departments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Отделы с руководителями и численностью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listDepartments</w:t>
            </w:r>
          </w:p>
        </w:tc>
      </w:tr>
      <w:tr>
        <w:trPr/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POST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/api/v1/departments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Создать отдел (кадровая служба, администратор)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createDepartment</w:t>
            </w:r>
          </w:p>
        </w:tc>
      </w:tr>
      <w:tr>
        <w:trPr/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PATCH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/api/v1/departments/{name}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Переименовать, сменить руководителя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updateDepartment</w:t>
            </w:r>
          </w:p>
        </w:tc>
      </w:tr>
      <w:tr>
        <w:trPr/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DELETE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/api/v1/departments/{name}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Удалить отдел (нельзя при наличии сотрудников)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deleteDepartment</w:t>
            </w:r>
          </w:p>
        </w:tc>
      </w:tr>
      <w:tr>
        <w:trPr/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GET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/api/v1/projects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Проекты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listProjects</w:t>
            </w:r>
          </w:p>
        </w:tc>
      </w:tr>
      <w:tr>
        <w:trPr/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POST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/api/v1/projects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Создать проект (кадровая служба, администратор)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createProject</w:t>
            </w:r>
          </w:p>
        </w:tc>
      </w:tr>
      <w:tr>
        <w:trPr/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PATCH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/api/v1/projects/{id}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Изменить проект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updateProject</w:t>
            </w:r>
          </w:p>
        </w:tc>
      </w:tr>
      <w:tr>
        <w:trPr/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DELETE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/api/v1/projects/{id}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Удалить проект (нельзя при наличии участников)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deleteProject</w:t>
            </w:r>
          </w:p>
        </w:tc>
      </w:tr>
      <w:tr>
        <w:trPr/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GET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/api/v1/groups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Пользовательские группы для фильтров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listGroups</w:t>
            </w:r>
          </w:p>
        </w:tc>
      </w:tr>
      <w:tr>
        <w:trPr/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POST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/api/v1/groups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Создать группу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createGroup</w:t>
            </w:r>
          </w:p>
        </w:tc>
      </w:tr>
      <w:tr>
        <w:trPr/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PATCH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/api/v1/groups/{id}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Изменить название или состав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updateGroup</w:t>
            </w:r>
          </w:p>
        </w:tc>
      </w:tr>
      <w:tr>
        <w:trPr/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DELETE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/api/v1/groups/{id}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Удалить группу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deleteGroup</w:t>
            </w:r>
          </w:p>
        </w:tc>
      </w:tr>
    </w:tbl>
    <w:p>
      <w:pPr>
        <w:pStyle w:val="BodyText"/>
        <w:rPr/>
      </w:pPr>
      <w:r>
        <w:rPr>
          <w:b/>
          <w:bCs/>
        </w:rPr>
        <w:t>Настройки</w:t>
      </w:r>
      <w:r>
        <w:rPr/>
        <w:t xml:space="preserve"> (3)</w:t>
      </w:r>
    </w:p>
    <w:tbl>
      <w:tblPr>
        <w:tblStyle w:val="Table"/>
        <w:tblW w:w="5000" w:type="pct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339"/>
        <w:gridCol w:w="2340"/>
        <w:gridCol w:w="2340"/>
        <w:gridCol w:w="2340"/>
      </w:tblGrid>
      <w:tr>
        <w:trPr>
          <w:tblHeader w:val="true"/>
        </w:trPr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Метод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Путь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Назначение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Операция</w:t>
            </w:r>
          </w:p>
        </w:tc>
      </w:tr>
      <w:tr>
        <w:trPr/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GET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/api/v1/settings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Настройки организации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getSettings</w:t>
            </w:r>
          </w:p>
        </w:tc>
      </w:tr>
      <w:tr>
        <w:trPr/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PATCH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/api/v1/settings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Изменить настройки (только администратор)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updateSettings</w:t>
            </w:r>
          </w:p>
        </w:tc>
      </w:tr>
      <w:tr>
        <w:trPr/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POST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/api/v1/settings/test-email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Проверочное письмо администратору (проверка SMTP после развёртывания)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sendTestEmail</w:t>
            </w:r>
          </w:p>
        </w:tc>
      </w:tr>
    </w:tbl>
    <w:p>
      <w:pPr>
        <w:pStyle w:val="BodyText"/>
        <w:rPr/>
      </w:pPr>
      <w:r>
        <w:rPr>
          <w:b/>
          <w:bCs/>
        </w:rPr>
        <w:t>Производственный календарь</w:t>
      </w:r>
      <w:r>
        <w:rPr/>
        <w:t xml:space="preserve"> (2)</w:t>
      </w:r>
    </w:p>
    <w:tbl>
      <w:tblPr>
        <w:tblStyle w:val="Table"/>
        <w:tblW w:w="5000" w:type="pct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339"/>
        <w:gridCol w:w="2340"/>
        <w:gridCol w:w="2340"/>
        <w:gridCol w:w="2340"/>
      </w:tblGrid>
      <w:tr>
        <w:trPr>
          <w:tblHeader w:val="true"/>
        </w:trPr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Метод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Путь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Назначение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Операция</w:t>
            </w:r>
          </w:p>
        </w:tc>
      </w:tr>
      <w:tr>
        <w:trPr/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GET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/api/v1/calendar/holidays/{year}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Праздники и переносы производственного календаря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getHolidays</w:t>
            </w:r>
          </w:p>
        </w:tc>
      </w:tr>
      <w:tr>
        <w:trPr/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PUT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/api/v1/calendar/holidays/{year}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Загрузить или изменить календарь года (кадровая служба, администратор)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setHolidays</w:t>
            </w:r>
          </w:p>
        </w:tc>
      </w:tr>
    </w:tbl>
    <w:p>
      <w:pPr>
        <w:pStyle w:val="BodyText"/>
        <w:rPr/>
      </w:pPr>
      <w:r>
        <w:rPr>
          <w:b/>
          <w:bCs/>
        </w:rPr>
        <w:t>Уведомления</w:t>
      </w:r>
      <w:r>
        <w:rPr/>
        <w:t xml:space="preserve"> (3)</w:t>
      </w:r>
    </w:p>
    <w:tbl>
      <w:tblPr>
        <w:tblStyle w:val="Table"/>
        <w:tblW w:w="5000" w:type="pct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339"/>
        <w:gridCol w:w="2340"/>
        <w:gridCol w:w="2340"/>
        <w:gridCol w:w="2340"/>
      </w:tblGrid>
      <w:tr>
        <w:trPr>
          <w:tblHeader w:val="true"/>
        </w:trPr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Метод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Путь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Назначение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Операция</w:t>
            </w:r>
          </w:p>
        </w:tc>
      </w:tr>
      <w:tr>
        <w:trPr/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GET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/api/v1/notifications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Уведомления текущего пользователя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listNotifications</w:t>
            </w:r>
          </w:p>
        </w:tc>
      </w:tr>
      <w:tr>
        <w:trPr/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POST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/api/v1/notifications/read-all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Пометить прочитанными все уведомления (с v0.5.0)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markAllNotificationsRead</w:t>
            </w:r>
          </w:p>
        </w:tc>
      </w:tr>
      <w:tr>
        <w:trPr/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POST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/api/v1/notifications/{id}/read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Пометить прочитанным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markNotificationRead</w:t>
            </w:r>
          </w:p>
        </w:tc>
      </w:tr>
    </w:tbl>
    <w:p>
      <w:pPr>
        <w:pStyle w:val="BodyText"/>
        <w:rPr/>
      </w:pPr>
      <w:r>
        <w:rPr>
          <w:b/>
          <w:bCs/>
        </w:rPr>
        <w:t>imports</w:t>
      </w:r>
      <w:r>
        <w:rPr/>
        <w:t xml:space="preserve"> (2)</w:t>
      </w:r>
    </w:p>
    <w:tbl>
      <w:tblPr>
        <w:tblStyle w:val="Table"/>
        <w:tblW w:w="5000" w:type="pct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339"/>
        <w:gridCol w:w="2340"/>
        <w:gridCol w:w="2340"/>
        <w:gridCol w:w="2340"/>
      </w:tblGrid>
      <w:tr>
        <w:trPr>
          <w:tblHeader w:val="true"/>
        </w:trPr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Метод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Путь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Назначение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Операция</w:t>
            </w:r>
          </w:p>
        </w:tc>
      </w:tr>
      <w:tr>
        <w:trPr/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POST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/api/v1/imports/employees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Импорт сотрудников и остатков — предпросмотр или применение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importEmployees</w:t>
            </w:r>
          </w:p>
        </w:tc>
      </w:tr>
      <w:tr>
        <w:trPr/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GET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/api/v1/imports/employees/template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Шаблон XLSX для импорта сотрудников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getImportTemplate</w:t>
            </w:r>
          </w:p>
        </w:tc>
      </w:tr>
    </w:tbl>
    <w:p>
      <w:pPr>
        <w:pStyle w:val="BodyText"/>
        <w:rPr/>
      </w:pPr>
      <w:r>
        <w:rPr>
          <w:b/>
          <w:bCs/>
        </w:rPr>
        <w:t>events</w:t>
      </w:r>
      <w:r>
        <w:rPr/>
        <w:t xml:space="preserve"> (2)</w:t>
      </w:r>
    </w:p>
    <w:tbl>
      <w:tblPr>
        <w:tblStyle w:val="Table"/>
        <w:tblW w:w="5000" w:type="pct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339"/>
        <w:gridCol w:w="2340"/>
        <w:gridCol w:w="2340"/>
        <w:gridCol w:w="2340"/>
      </w:tblGrid>
      <w:tr>
        <w:trPr>
          <w:tblHeader w:val="true"/>
        </w:trPr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Метод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Путь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Назначение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Операция</w:t>
            </w:r>
          </w:p>
        </w:tc>
      </w:tr>
      <w:tr>
        <w:trPr/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POST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/api/v1/events/ticket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Билет на поток событий (60 секунд)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getEventsTicket</w:t>
            </w:r>
          </w:p>
        </w:tc>
      </w:tr>
      <w:tr>
        <w:trPr/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GET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/api/v1/events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Поток событий (text/event-stream)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streamEvents</w:t>
            </w:r>
          </w:p>
        </w:tc>
      </w:tr>
    </w:tbl>
    <w:p>
      <w:pPr>
        <w:pStyle w:val="BodyText"/>
        <w:rPr/>
      </w:pPr>
      <w:r>
        <w:rPr>
          <w:b/>
          <w:bCs/>
        </w:rPr>
        <w:t>Отчёты</w:t>
      </w:r>
      <w:r>
        <w:rPr/>
        <w:t xml:space="preserve"> (3)</w:t>
      </w:r>
    </w:p>
    <w:tbl>
      <w:tblPr>
        <w:tblStyle w:val="Table"/>
        <w:tblW w:w="5000" w:type="pct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339"/>
        <w:gridCol w:w="2340"/>
        <w:gridCol w:w="2340"/>
        <w:gridCol w:w="2340"/>
      </w:tblGrid>
      <w:tr>
        <w:trPr>
          <w:tblHeader w:val="true"/>
        </w:trPr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Метод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Путь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Назначение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Операция</w:t>
            </w:r>
          </w:p>
        </w:tc>
      </w:tr>
      <w:tr>
        <w:trPr/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GET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/api/v1/reports/vacations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Выгрузка отпусков за период (XLSX)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exportVacations</w:t>
            </w:r>
          </w:p>
        </w:tc>
      </w:tr>
      <w:tr>
        <w:trPr/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GET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/api/v1/reports/t7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График отпусков по унифицированной форме Т-7 (XLSX; кадровая служба)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exportT7</w:t>
            </w:r>
          </w:p>
        </w:tc>
      </w:tr>
      <w:tr>
        <w:trPr/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GET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/api/v1/reports/notices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Журнал извещений за период (XLSX; кадровая служба, администратор)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exportNotices</w:t>
            </w:r>
          </w:p>
        </w:tc>
      </w:tr>
    </w:tbl>
    <w:p>
      <w:pPr>
        <w:pStyle w:val="BodyText"/>
        <w:rPr/>
      </w:pPr>
      <w:r>
        <w:rPr>
          <w:b/>
          <w:bCs/>
        </w:rPr>
        <w:t>Аналитика</w:t>
      </w:r>
      <w:r>
        <w:rPr/>
        <w:t xml:space="preserve"> (4)</w:t>
      </w:r>
    </w:p>
    <w:tbl>
      <w:tblPr>
        <w:tblStyle w:val="Table"/>
        <w:tblW w:w="5000" w:type="pct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339"/>
        <w:gridCol w:w="2340"/>
        <w:gridCol w:w="2340"/>
        <w:gridCol w:w="2340"/>
      </w:tblGrid>
      <w:tr>
        <w:trPr>
          <w:tblHeader w:val="true"/>
        </w:trPr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Метод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Путь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Назначение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Операция</w:t>
            </w:r>
          </w:p>
        </w:tc>
      </w:tr>
      <w:tr>
        <w:trPr/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GET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/api/v1/analytics/departments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Отделы, доступные пользователю для аналитики (с v0.3.0)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listAnalyticsDepartments</w:t>
            </w:r>
          </w:p>
        </w:tc>
      </w:tr>
      <w:tr>
        <w:trPr/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GET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/api/v1/analytics/overview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Нагрузка отдела по месяцам, периоды конфликтов, распределение дней, выводы (с v0.3.0)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getDepartmentOverview</w:t>
            </w:r>
          </w:p>
        </w:tc>
      </w:tr>
      <w:tr>
        <w:trPr/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GET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/api/v1/analytics/team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Состав отдела или проекта на дату — офис, удалёнка, отпуск, выходной (с v0.3.0)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getTeamToday</w:t>
            </w:r>
          </w:p>
        </w:tc>
      </w:tr>
      <w:tr>
        <w:trPr/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GET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/api/v1/analytics/suggestions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Лучшие окна для отпуска с учётом нагрузки отдела и праздников (с v0.3.0)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suggestVacationDates</w:t>
            </w:r>
          </w:p>
        </w:tc>
      </w:tr>
    </w:tbl>
    <w:p>
      <w:pPr>
        <w:pStyle w:val="Heading2"/>
        <w:rPr/>
      </w:pPr>
      <w:bookmarkStart w:id="58" w:name="__RefHeading___Toc58604_1804324697"/>
      <w:bookmarkEnd w:id="58"/>
      <w:r>
        <w:rPr>
          <w:rStyle w:val="SectionNumber"/>
        </w:rPr>
        <w:t>9.1</w:t>
      </w:r>
      <w:r>
        <w:rPr/>
        <w:tab/>
        <w:t>Коды ошибок</w:t>
      </w:r>
    </w:p>
    <w:p>
      <w:pPr>
        <w:pStyle w:val="FirstParagraph"/>
        <w:rPr/>
      </w:pPr>
      <w:r>
        <w:rPr/>
        <w:t xml:space="preserve">Поле </w:t>
      </w:r>
      <w:r>
        <w:rPr>
          <w:rStyle w:val="VerbatimChar"/>
        </w:rPr>
        <w:t>type</w:t>
      </w:r>
      <w:r>
        <w:rPr/>
        <w:t xml:space="preserve"> ответа об ошибке — </w:t>
      </w:r>
      <w:r>
        <w:rPr>
          <w:rStyle w:val="VerbatimChar"/>
        </w:rPr>
        <w:t>https://vacation.planner/problems/&lt;код&gt;</w:t>
      </w:r>
      <w:r>
        <w:rPr/>
        <w:t xml:space="preserve">: это идентификатор кода, а не адрес, по нему программа не обращается. </w:t>
      </w:r>
      <w:r>
        <w:rPr>
          <w:rStyle w:val="VerbatimChar"/>
        </w:rPr>
        <w:t>title</w:t>
      </w:r>
      <w:r>
        <w:rPr/>
        <w:t xml:space="preserve"> — короткий текст для человека, </w:t>
      </w:r>
      <w:r>
        <w:rPr>
          <w:rStyle w:val="VerbatimChar"/>
        </w:rPr>
        <w:t>detail</w:t>
      </w:r>
      <w:r>
        <w:rPr/>
        <w:t xml:space="preserve"> — уточнение для конкретного случая.</w:t>
      </w:r>
    </w:p>
    <w:tbl>
      <w:tblPr>
        <w:tblStyle w:val="Table"/>
        <w:tblW w:w="5000" w:type="pct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Код (type)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HTTP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Заголовок (title)</w:t>
            </w:r>
          </w:p>
        </w:tc>
      </w:tr>
      <w:tr>
        <w:trPr/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auth/invalid-credentials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401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Неверный логин или пароль</w:t>
            </w:r>
          </w:p>
        </w:tc>
      </w:tr>
      <w:tr>
        <w:trPr/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auth/token-expired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401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Сессия истекла</w:t>
            </w:r>
          </w:p>
        </w:tc>
      </w:tr>
      <w:tr>
        <w:trPr/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auth/forbidden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403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Недостаточно прав для этого действия</w:t>
            </w:r>
          </w:p>
        </w:tc>
      </w:tr>
      <w:tr>
        <w:trPr/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auth/account-locked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423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Учётная запись временно заблокирована после неудачных попыток входа</w:t>
            </w:r>
          </w:p>
        </w:tc>
      </w:tr>
      <w:tr>
        <w:trPr/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auth/password-change-required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403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Смените пароль, выданный администратором</w:t>
            </w:r>
          </w:p>
        </w:tc>
      </w:tr>
      <w:tr>
        <w:trPr/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validation/invalid-field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400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Некорректно заполнено поле</w:t>
            </w:r>
          </w:p>
        </w:tc>
      </w:tr>
      <w:tr>
        <w:trPr/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validation/weak-password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400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Пароль не соответствует политике паролей</w:t>
            </w:r>
          </w:p>
        </w:tc>
      </w:tr>
      <w:tr>
        <w:trPr/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validation/bad-date-range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400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Дата окончания раньше даты начала или даты в прошлом</w:t>
            </w:r>
          </w:p>
        </w:tc>
      </w:tr>
      <w:tr>
        <w:trPr/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not-found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404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Запись не существует или удалена</w:t>
            </w:r>
          </w:p>
        </w:tc>
      </w:tr>
      <w:tr>
        <w:trPr/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overlapping-request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409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Период пересекается с существующей заявкой</w:t>
            </w:r>
          </w:p>
        </w:tc>
      </w:tr>
      <w:tr>
        <w:trPr/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limit-exceeded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409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Превышен остаток дней отпуска</w:t>
            </w:r>
          </w:p>
        </w:tc>
      </w:tr>
      <w:tr>
        <w:trPr/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stale-state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409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Данные изменились: обновите страницу и повторите</w:t>
            </w:r>
          </w:p>
        </w:tc>
      </w:tr>
      <w:tr>
        <w:trPr/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last-admin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409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Нельзя удалить или разжаловать последнего администратора</w:t>
            </w:r>
          </w:p>
        </w:tc>
      </w:tr>
      <w:tr>
        <w:trPr/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department-not-empty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409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В отделе ещё есть сотрудники</w:t>
            </w:r>
          </w:p>
        </w:tc>
      </w:tr>
      <w:tr>
        <w:trPr/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rate-limited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429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Слишком много запросов. Повторите позже.</w:t>
            </w:r>
          </w:p>
        </w:tc>
      </w:tr>
      <w:tr>
        <w:trPr/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calendar-missing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400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Для этого года не загружен производственный календарь</w:t>
            </w:r>
          </w:p>
        </w:tc>
      </w:tr>
      <w:tr>
        <w:trPr/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service-unavailable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503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Сервис перегружен. Повторите через несколько секунд.</w:t>
            </w:r>
            <w:bookmarkStart w:id="59" w:name="программные-интерфейсы"/>
            <w:bookmarkEnd w:id="59"/>
          </w:p>
        </w:tc>
      </w:tr>
    </w:tbl>
    <w:p>
      <w:pPr>
        <w:pStyle w:val="Heading1"/>
        <w:rPr/>
      </w:pPr>
      <w:bookmarkStart w:id="60" w:name="__RefHeading___Toc58606_1804324697"/>
      <w:bookmarkEnd w:id="60"/>
      <w:r>
        <w:rPr>
          <w:rStyle w:val="SectionNumber"/>
        </w:rPr>
        <w:t>10</w:t>
      </w:r>
      <w:r>
        <w:rPr/>
        <w:tab/>
        <w:t>Информационная безопасность</w:t>
      </w:r>
    </w:p>
    <w:p>
      <w:pPr>
        <w:pStyle w:val="Heading2"/>
        <w:rPr/>
      </w:pPr>
      <w:bookmarkStart w:id="61" w:name="__RefHeading___Toc58608_1804324697"/>
      <w:bookmarkEnd w:id="61"/>
      <w:r>
        <w:rPr>
          <w:rStyle w:val="SectionNumber"/>
        </w:rPr>
        <w:t>10.1</w:t>
      </w:r>
      <w:r>
        <w:rPr/>
        <w:tab/>
        <w:t>Аутентификация и сеансы</w:t>
      </w:r>
    </w:p>
    <w:tbl>
      <w:tblPr>
        <w:tblStyle w:val="Table"/>
        <w:tblW w:w="5000" w:type="pct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4679"/>
        <w:gridCol w:w="4680"/>
      </w:tblGrid>
      <w:tr>
        <w:trPr>
          <w:tblHeader w:val="true"/>
        </w:trPr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Механизм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Реализация</w:t>
            </w:r>
          </w:p>
        </w:tc>
      </w:tr>
      <w:tr>
        <w:trPr/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Хранение паролей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scrypt (N = 16384, r = 8, p = 1) с 16-байтной случайной солью, вычисление в пуле потоков, сравнение за постоянное время (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server/src/auth/passwords.ts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>); для несуществующего логина проверяется подставной хеш — время ответа не выдаёт, есть ли учётная запись. Пароли не попадают в журналы, ответы и выгрузки</w:t>
            </w:r>
          </w:p>
        </w:tc>
      </w:tr>
      <w:tr>
        <w:trPr/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Access-токен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JWT HS256 сроком 15 минут; принимается только алгоритм HS256; хранится в памяти вкладки, не в браузерном хранилище</w:t>
            </w:r>
          </w:p>
        </w:tc>
      </w:tr>
      <w:tr>
        <w:trPr/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Refresh-токен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Случайные 32 байта в cookie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vp_refresh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 (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HttpOnly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SameSite=Strict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Secure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 в режиме production, путь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/api/v1/auth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>) сроком 30 дней; в БД хранится только SHA-256</w:t>
            </w:r>
          </w:p>
        </w:tc>
      </w:tr>
      <w:tr>
        <w:trPr/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Ротация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Каждое обновление атомарно отзывает использованный refresh-токен и выдаёт новый. Повтор того же токена в течение 30 секунд (параллельные вкладки) получает пару того же сеанса; позднее повторное предъявление считается кражей — сеанс завершается целиком, в журнал входов пишется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refresh_reuse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 (ADR-015)</w:t>
            </w:r>
          </w:p>
        </w:tc>
      </w:tr>
      <w:tr>
        <w:trPr/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Сеансы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Цепочка refresh-токенов одного входа; access-токен несёт идентификатор сеанса. Сотрудник видит свои сеансы (способ входа, адрес, браузер, время) и завершает любой или все остальные; кадровая служба завершает сеансы сотрудника. Завершённый сеанс теряет доступ и поток событий не позже чем через 10 секунд</w:t>
            </w:r>
          </w:p>
        </w:tc>
      </w:tr>
      <w:tr>
        <w:trPr/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Блокировка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После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lockoutThreshold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 неудачных попыток подряд (по умолчанию 10; 0 — выключено) учётная запись блокируется на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lockoutMinutes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 (по умолчанию 15). Неверный старый пароль при смене пароля тоже считается неудачной попыткой — с похищенным сеансом пароль не подобрать перебором.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423 auth/account-locked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 при входе выдаётся только при верном пароле, иначе — обычный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401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>: подбирающий не узнаёт, что пароль угадан. Сотрудник получает уведомление, кадровая служба снимает блокировку</w:t>
            </w:r>
          </w:p>
        </w:tc>
      </w:tr>
      <w:tr>
        <w:trPr/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Политика паролей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Длина не меньше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passwordMinLength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 (8–64), без логина и фамилии, не из распространённых (с учётом русской раскладки и транслита), не последовательность клавиш или цифр, не совпадает с текущим (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server/src/auth/password-policy.ts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>)</w:t>
            </w:r>
          </w:p>
        </w:tc>
      </w:tr>
      <w:tr>
        <w:trPr/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Одноразовый пароль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Пароль, выданный при создании, импорте или сбросе, требуется сменить при первом входе: до смены API отвечает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403 auth/password-change-required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 на всё, кроме смены пароля, профиля и выхода; сброс генерирует сервер</w:t>
            </w:r>
          </w:p>
        </w:tc>
      </w:tr>
      <w:tr>
        <w:trPr/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Смена пароля и увольнение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Смена пароля увеличивает версию пароля, увольнение снимает признак активности: выданные токены перестают действовать (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401 auth/token-expired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>), refresh-токены отзываются сразу</w:t>
            </w:r>
          </w:p>
        </w:tc>
      </w:tr>
      <w:tr>
        <w:trPr/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Ограничение частоты входа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10 попыток в минуту на пару «адрес + логин» и 60 на адрес →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429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 с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Retry-After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; окна хранятся в PostgreSQL и общие для всех процессов и экземпляров (ADR-012); адрес клиента берётся из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X-Forwarded-For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 только от доверенных прокси частных сетей (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TRUST_PROXY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>)</w:t>
            </w:r>
          </w:p>
        </w:tc>
      </w:tr>
      <w:tr>
        <w:trPr/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Поток событий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Открывается по одноразовому билету на 60 секунд с отдельной аудиторией JWT: билетом нельзя вызвать другие операции, токен не попадает в адрес и журналы прокси</w:t>
            </w:r>
          </w:p>
        </w:tc>
      </w:tr>
      <w:tr>
        <w:trPr/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Ответ на неверный вход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Единый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401 auth/invalid-credentials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 без указания причины</w:t>
            </w:r>
          </w:p>
        </w:tc>
      </w:tr>
      <w:tr>
        <w:trPr/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Единый вход (OIDC)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Authorization code + PKCE (S256);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state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nonce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 и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code_verifier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 — в подписанной httpOnly-cookie на 10 минут;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id_token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 проверяется по ключам JWKS провайдера (подпись, издатель, получатель, срок,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nonce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); сотрудник сопоставляется по логину из утверждения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OIDC_LOGIN_CLAIM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>; уволенного или неизвестного сотрудника единый вход не пускает</w:t>
            </w:r>
          </w:p>
        </w:tc>
      </w:tr>
      <w:tr>
        <w:trPr/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Отключение входа по паролю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LOCAL_LOGIN=false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>: пароль остаётся только у администраторов — аварийный вход при недоступности провайдера</w:t>
            </w:r>
          </w:p>
        </w:tc>
      </w:tr>
      <w:tr>
        <w:trPr/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Секрет подписи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JWT_SECRET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 из окружения; сервер не запускается, если секрет не задан или короче 32 символов, а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docker compose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 — если он не задан в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.env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>: значения по умолчанию нет. Access-токен принимается только с идентификатором живого сеанса из БД, поэтому одного секрета для подделки токена недостаточно</w:t>
            </w:r>
            <w:bookmarkStart w:id="62" w:name="аутентификация-и-сеансы"/>
            <w:bookmarkEnd w:id="62"/>
          </w:p>
        </w:tc>
      </w:tr>
    </w:tbl>
    <w:p>
      <w:pPr>
        <w:pStyle w:val="Heading2"/>
        <w:rPr/>
      </w:pPr>
      <w:bookmarkStart w:id="63" w:name="__RefHeading___Toc58610_1804324697"/>
      <w:bookmarkEnd w:id="63"/>
      <w:r>
        <w:rPr>
          <w:rStyle w:val="SectionNumber"/>
        </w:rPr>
        <w:t>10.2</w:t>
      </w:r>
      <w:r>
        <w:rPr/>
        <w:tab/>
        <w:t>Защита запросов</w:t>
      </w:r>
    </w:p>
    <w:tbl>
      <w:tblPr>
        <w:tblStyle w:val="Table"/>
        <w:tblW w:w="5000" w:type="pct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4679"/>
        <w:gridCol w:w="4680"/>
      </w:tblGrid>
      <w:tr>
        <w:trPr>
          <w:tblHeader w:val="true"/>
        </w:trPr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Угроза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Мера</w:t>
            </w:r>
          </w:p>
        </w:tc>
      </w:tr>
      <w:tr>
        <w:trPr/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Межсайтовый скриптинг (XSS)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Данные пользователей выводятся только интерполяцией Vue с автоэкранированием,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v-html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 в клиенте запрещён правилами разработки; Content Security Policy nginx: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default-src 'self'; script-src 'self'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 без inline-скриптов,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frame-ancestors 'none'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base-uri 'self'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form-action 'self'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>. E2e-тесты интерфейса выполняются под той же политикой и падают при её нарушении</w:t>
            </w:r>
          </w:p>
        </w:tc>
      </w:tr>
      <w:tr>
        <w:trPr/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Подделка межсайтовых запросов (CSRF)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Изменяющие операции требуют заголовка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Authorization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 с токеном из памяти вкладки; refresh-cookie —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SameSite=Strict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 и только для пути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/api/v1/auth</w:t>
            </w:r>
          </w:p>
        </w:tc>
      </w:tr>
      <w:tr>
        <w:trPr/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Внедрение SQL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Запросы через Prisma; сырые запросы — только параметризованные (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$queryRaw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 с параметрами)</w:t>
            </w:r>
          </w:p>
        </w:tc>
      </w:tr>
      <w:tr>
        <w:trPr/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Подмена полей запроса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DTO-валидация (class-validator) с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whitelist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>: неизвестные поля отбрасываются, длины и форматы ограничены</w:t>
            </w:r>
          </w:p>
        </w:tc>
      </w:tr>
      <w:tr>
        <w:trPr/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Встраивание во фреймы, подмена типа, утечки Referer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X-Frame-Options: DENY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X-Content-Type-Options: nosniff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Referrer-Policy: strict-origin-when-cross-origin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Permissions-Policy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 — на статике (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web/nginx.conf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>) и на ответах API (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server/src/app.setup.ts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>); nginx не раскрывает версию (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server_tokens off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>)</w:t>
            </w:r>
          </w:p>
        </w:tc>
      </w:tr>
      <w:tr>
        <w:trPr/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Перехват трафика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HTTPS и HSTS на обратном прокси организации; refresh-cookie с признаком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Secure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 в режиме production</w:t>
            </w:r>
          </w:p>
        </w:tc>
      </w:tr>
      <w:tr>
        <w:trPr/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Несанкционированный доступ к метрикам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/metrics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 не проксируется nginx наружу; при заданном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METRICS_TOKEN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 требуется Bearer-токен, сравнение за постоянное время</w:t>
            </w:r>
          </w:p>
        </w:tc>
      </w:tr>
      <w:tr>
        <w:trPr/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Раскрытие сведений в ошибках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Только коды из каталога; внутренние ошибки —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500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 без подробностей; журнал сервера не содержит паролей, токенов, тел запросов и параметров SQL</w:t>
            </w:r>
          </w:p>
        </w:tc>
      </w:tr>
      <w:tr>
        <w:trPr/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Чрезмерные загрузки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Файл импорта — не больше 2 МБ и один на запрос; тяжёлые чтения ограничены периодом</w:t>
            </w:r>
          </w:p>
        </w:tc>
      </w:tr>
      <w:tr>
        <w:trPr/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Гонки при параллельной работе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Блокировки строк (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FOR UPDATE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FOR NO KEY UPDATE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), повторное чтение в транзакции, атомарные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UPDATE … RETURNING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>, уникальные ключи для плановых задач</w:t>
            </w:r>
          </w:p>
        </w:tc>
      </w:tr>
      <w:tr>
        <w:trPr/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Перегрузка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Нет свободного соединения с БД или БД недоступна —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503 service-unavailable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 с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Retry-After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>; клиент повторяет чтение после паузы</w:t>
            </w:r>
          </w:p>
        </w:tc>
      </w:tr>
    </w:tbl>
    <w:p>
      <w:pPr>
        <w:pStyle w:val="Heading2"/>
        <w:rPr/>
      </w:pPr>
      <w:bookmarkStart w:id="64" w:name="__RefHeading___Toc58612_1804324697"/>
      <w:bookmarkEnd w:id="64"/>
      <w:r>
        <w:rPr>
          <w:rStyle w:val="SectionNumber"/>
        </w:rPr>
        <w:t>10.3</w:t>
      </w:r>
      <w:r>
        <w:rPr/>
        <w:tab/>
        <w:t>Модель авторизации</w:t>
      </w:r>
    </w:p>
    <w:tbl>
      <w:tblPr>
        <w:tblStyle w:val="Table"/>
        <w:tblW w:w="5000" w:type="pct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4679"/>
        <w:gridCol w:w="4680"/>
      </w:tblGrid>
      <w:tr>
        <w:trPr>
          <w:tblHeader w:val="true"/>
        </w:trPr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Роль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Права</w:t>
            </w:r>
          </w:p>
        </w:tc>
      </w:tr>
      <w:tr>
        <w:trPr/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Сотрудник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Свои заявки, баланс, режим работы, извещения и сеансы; общий график; команда и аналитика своего отдела; подбор дат для себя</w:t>
            </w:r>
          </w:p>
        </w:tc>
      </w:tr>
      <w:tr>
        <w:trPr/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Руководитель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Дополнительно: согласование заявок и оформление отпусков прямых подчинённых (руководитель отдела — и сотрудников отдела без руководителя), их режим работы, аналитика своих отделов, выгрузка своей области; передача согласования заместителю</w:t>
            </w:r>
          </w:p>
        </w:tc>
      </w:tr>
      <w:tr>
        <w:trPr/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Заместитель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На период замещения — права руководителя по заявкам его команды; свою заявку не согласует</w:t>
            </w:r>
          </w:p>
        </w:tc>
      </w:tr>
      <w:tr>
        <w:trPr/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Вышестоящий по эскалации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Решение по заявке, переданной ему после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escalationDays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 дней без решения</w:t>
            </w:r>
          </w:p>
        </w:tc>
      </w:tr>
      <w:tr>
        <w:trPr/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Кадровая служба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Сотрудники и импорт, оргструктура, производственный календарь, выгрузки и аналитика всей организации, журналы аудита и входов, блокировки, сеансы и сброс паролей сотрудников, кампания планирования, утверждение графика и форма Т-7, журнал извещений. Не меняет правила организации, не согласует заявки, не меняет учётные записи администраторов и коллег по службе</w:t>
            </w:r>
          </w:p>
        </w:tc>
      </w:tr>
      <w:tr>
        <w:trPr/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Администратор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Всё, включая правила организации, выдачу служебных ролей и согласование любых заявок; последнего администратора удалить или разжаловать нельзя (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409 last-admin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>)</w:t>
            </w:r>
          </w:p>
        </w:tc>
      </w:tr>
    </w:tbl>
    <w:p>
      <w:pPr>
        <w:pStyle w:val="BodyText"/>
        <w:rPr/>
      </w:pPr>
      <w:r>
        <w:rPr/>
        <w:t>Роли и права на объекты проверяются на сервере в каждом запросе; права служебных ролей читаются из БД (</w:t>
      </w:r>
      <w:r>
        <w:rPr>
          <w:rStyle w:val="VerbatimChar"/>
        </w:rPr>
        <w:t>server/src/auth/access.ts</w:t>
      </w:r>
      <w:r>
        <w:rPr/>
        <w:t>), а не из токена, поэтому снятие роли действует сразу. Данные чужих отделов в браузер не передаются: аналитика считается на сервере. Карточку коллеги сотрудник без служебной роли получает справочной — ФИО, должность, отдел, руководитель; логин, почта, нормы дней, табельный номер и служебные права видны только самому сотруднику, его руководителю, кадровой службе и администратору. Каждая операция API каждой ролью проверяется автоматическим тестом матрицы прав (</w:t>
      </w:r>
      <w:r>
        <w:rPr>
          <w:rStyle w:val="VerbatimChar"/>
        </w:rPr>
        <w:t>server/test/rights-matrix.e2e.test.ts</w:t>
      </w:r>
      <w:r>
        <w:rPr/>
        <w:t>): новая операция без строки в матрице не проходит CI. Подробная матрица «действие × роль» — документ 2, раздел «Матрица прав».</w:t>
      </w:r>
    </w:p>
    <w:p>
      <w:pPr>
        <w:pStyle w:val="Heading2"/>
        <w:rPr/>
      </w:pPr>
      <w:bookmarkStart w:id="65" w:name="__RefHeading___Toc58614_1804324697"/>
      <w:bookmarkEnd w:id="65"/>
      <w:r>
        <w:rPr>
          <w:rStyle w:val="SectionNumber"/>
        </w:rPr>
        <w:t>10.4</w:t>
      </w:r>
      <w:r>
        <w:rPr/>
        <w:tab/>
        <w:t>Журналирование и аудит</w:t>
      </w:r>
    </w:p>
    <w:tbl>
      <w:tblPr>
        <w:tblStyle w:val="Table"/>
        <w:tblW w:w="5000" w:type="pct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4679"/>
        <w:gridCol w:w="4680"/>
      </w:tblGrid>
      <w:tr>
        <w:trPr>
          <w:tblHeader w:val="true"/>
        </w:trPr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Журнал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Содержание</w:t>
            </w:r>
          </w:p>
        </w:tc>
      </w:tr>
      <w:tr>
        <w:trPr/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Журнал изменений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audit_events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Каждое изменение данных: кто, когда, действие, объект, значения до и после. Запись выполняется в той же транзакции, что и само изменение (ADR-006), поэтому не может потеряться или появиться без изменения. Журнал только дополняется: в API нет операций его изменения и удаления. Администратор и кадровая служба просматривают его с фильтрами и раскрытием изменённых полей; выгрузки отчётов тоже фиксируются</w:t>
            </w:r>
          </w:p>
        </w:tc>
      </w:tr>
      <w:tr>
        <w:trPr/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Журнал входов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login_events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Успешный вход паролем и через единый вход, неверный пароль, неизвестный логин, блокировка, отказ по частоте, вход при отключённом пароле, неизвестный пользователь единого входа, повтор refresh-токена — с адресом и браузером. Запись не прерывает вход при ошибке; срок хранения —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loginRetentionDays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 (по умолчанию 365 дней), старые записи удаляет ежедневная задача (ADR-015)</w:t>
            </w:r>
          </w:p>
        </w:tc>
      </w:tr>
      <w:tr>
        <w:trPr/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Журнал сервера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Строки JSON в stdout контейнера (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LOG_FORMAT=json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>): время, уровень, сообщение, идентификатор запроса; медленные запросы и ответы 5xx с маршрутом, кодом, длительностью, идентификатором сотрудника и адресом; медленные запросы к БД — без параметров. Пароли, токены и тела запросов не пишутся</w:t>
            </w:r>
          </w:p>
        </w:tc>
      </w:tr>
      <w:tr>
        <w:trPr/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Журнал nginx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Каждый запрос с идентификатором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rid=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 и временем ответа</w:t>
            </w:r>
            <w:bookmarkStart w:id="66" w:name="журналирование-и-аудит"/>
            <w:bookmarkEnd w:id="66"/>
          </w:p>
        </w:tc>
      </w:tr>
    </w:tbl>
    <w:p>
      <w:pPr>
        <w:pStyle w:val="Heading2"/>
        <w:rPr/>
      </w:pPr>
      <w:bookmarkStart w:id="67" w:name="__RefHeading___Toc58616_1804324697"/>
      <w:bookmarkEnd w:id="67"/>
      <w:r>
        <w:rPr>
          <w:rStyle w:val="SectionNumber"/>
        </w:rPr>
        <w:t>10.5</w:t>
      </w:r>
      <w:r>
        <w:rPr/>
        <w:tab/>
        <w:t>Подтверждение мер защиты</w:t>
      </w:r>
    </w:p>
    <w:p>
      <w:pPr>
        <w:pStyle w:val="FirstParagraph"/>
        <w:rPr/>
      </w:pPr>
      <w:r>
        <w:rPr/>
        <w:t>Сводка требований безопасности для приёмки службой ИБ — 16 требований с указанием, как каждое выполнено и каким автоматическим тестом подтверждается, — приведена в проектной документации (</w:t>
      </w:r>
      <w:r>
        <w:rPr>
          <w:rStyle w:val="VerbatimChar"/>
        </w:rPr>
        <w:t>docs/specs/01-architecture.md</w:t>
      </w:r>
      <w:r>
        <w:rPr/>
        <w:t xml:space="preserve">, раздел «Чек-лист безопасности»). Тесты выполняются в конвейерах CI: </w:t>
      </w:r>
      <w:r>
        <w:rPr>
          <w:rStyle w:val="VerbatimChar"/>
        </w:rPr>
        <w:t>auth.e2e</w:t>
      </w:r>
      <w:r>
        <w:rPr/>
        <w:t xml:space="preserve">, </w:t>
      </w:r>
      <w:r>
        <w:rPr>
          <w:rStyle w:val="VerbatimChar"/>
        </w:rPr>
        <w:t>security.e2e</w:t>
      </w:r>
      <w:r>
        <w:rPr/>
        <w:t xml:space="preserve">, </w:t>
      </w:r>
      <w:r>
        <w:rPr>
          <w:rStyle w:val="VerbatimChar"/>
        </w:rPr>
        <w:t>oidc.e2e</w:t>
      </w:r>
      <w:r>
        <w:rPr/>
        <w:t xml:space="preserve">, </w:t>
      </w:r>
      <w:r>
        <w:rPr>
          <w:rStyle w:val="VerbatimChar"/>
        </w:rPr>
        <w:t>passwords.unit</w:t>
      </w:r>
      <w:r>
        <w:rPr/>
        <w:t xml:space="preserve">, </w:t>
      </w:r>
      <w:r>
        <w:rPr>
          <w:rStyle w:val="VerbatimChar"/>
        </w:rPr>
        <w:t>password-policy.unit</w:t>
      </w:r>
      <w:r>
        <w:rPr/>
        <w:t xml:space="preserve">, </w:t>
      </w:r>
      <w:r>
        <w:rPr>
          <w:rStyle w:val="VerbatimChar"/>
        </w:rPr>
        <w:t>contract.e2e</w:t>
      </w:r>
      <w:r>
        <w:rPr/>
        <w:t xml:space="preserve"> и e2e-сценарии интерфейса, включая проверку CSP на всех экранах.</w:t>
      </w:r>
    </w:p>
    <w:p>
      <w:pPr>
        <w:pStyle w:val="BodyText"/>
        <w:rPr/>
      </w:pPr>
      <w:r>
        <w:rPr/>
        <w:t>В рамках версии 1.0.0 выполняются самооценка по OWASP ASVS (уровень 1) и автоматическая проверка матрицы прав «каждая операция контракта × каждая роль» (история E50-02); их результаты оформляются отдельным отчётом. Документ не заявляет сертификатов соответствия.</w:t>
      </w:r>
    </w:p>
    <w:p>
      <w:pPr>
        <w:pStyle w:val="Heading2"/>
        <w:rPr/>
      </w:pPr>
      <w:bookmarkStart w:id="68" w:name="__RefHeading___Toc58618_1804324697"/>
      <w:bookmarkStart w:id="69" w:name="X7d973599ae5d4fcafc918c69f27f1a135d3c279"/>
      <w:bookmarkEnd w:id="68"/>
      <w:r>
        <w:rPr>
          <w:rStyle w:val="SectionNumber"/>
        </w:rPr>
        <w:t>10.6</w:t>
      </w:r>
      <w:r>
        <w:rPr/>
        <w:tab/>
        <w:t>Настраивает организация при развёртывании</w:t>
      </w:r>
    </w:p>
    <w:p>
      <w:pPr>
        <w:pStyle w:val="Compact"/>
        <w:numPr>
          <w:ilvl w:val="0"/>
          <w:numId w:val="2"/>
        </w:numPr>
        <w:rPr/>
      </w:pPr>
      <w:r>
        <w:rPr/>
        <w:t>TLS-сертификат, перенаправление на HTTPS и HSTS на обратном прокси или балансировщике;</w:t>
      </w:r>
    </w:p>
    <w:p>
      <w:pPr>
        <w:pStyle w:val="Compact"/>
        <w:numPr>
          <w:ilvl w:val="0"/>
          <w:numId w:val="2"/>
        </w:numPr>
        <w:rPr/>
      </w:pPr>
      <w:r>
        <w:rPr/>
        <w:t xml:space="preserve">собственный </w:t>
      </w:r>
      <w:r>
        <w:rPr>
          <w:rStyle w:val="VerbatimChar"/>
        </w:rPr>
        <w:t>JWT_SECRET</w:t>
      </w:r>
      <w:r>
        <w:rPr/>
        <w:t xml:space="preserve"> — случайная строка не короче 32 символов (без него </w:t>
      </w:r>
      <w:r>
        <w:rPr>
          <w:rStyle w:val="VerbatimChar"/>
        </w:rPr>
        <w:t>docker compose</w:t>
      </w:r>
      <w:r>
        <w:rPr/>
        <w:t xml:space="preserve"> стенд не запускает);</w:t>
      </w:r>
    </w:p>
    <w:p>
      <w:pPr>
        <w:pStyle w:val="Compact"/>
        <w:numPr>
          <w:ilvl w:val="0"/>
          <w:numId w:val="2"/>
        </w:numPr>
        <w:rPr/>
      </w:pPr>
      <w:r>
        <w:rPr/>
        <w:t>пароль учётной записи PostgreSQL; порт PostgreSQL опубликован только на локальном интерфейсе узла (</w:t>
      </w:r>
      <w:r>
        <w:rPr>
          <w:rStyle w:val="VerbatimChar"/>
        </w:rPr>
        <w:t>127.0.0.1:5432</w:t>
      </w:r>
      <w:r>
        <w:rPr/>
        <w:t>), из сети стенда он доступен контейнерам;</w:t>
      </w:r>
    </w:p>
    <w:p>
      <w:pPr>
        <w:pStyle w:val="Compact"/>
        <w:numPr>
          <w:ilvl w:val="0"/>
          <w:numId w:val="2"/>
        </w:numPr>
        <w:rPr/>
      </w:pPr>
      <w:r>
        <w:rPr/>
        <w:t>провайдер единого входа и почтовый релей — при необходимости;</w:t>
      </w:r>
    </w:p>
    <w:p>
      <w:pPr>
        <w:pStyle w:val="Compact"/>
        <w:numPr>
          <w:ilvl w:val="0"/>
          <w:numId w:val="2"/>
        </w:numPr>
        <w:rPr/>
      </w:pPr>
      <w:r>
        <w:rPr/>
        <w:t>отдельное хранилище для резервных копий и архива WAL;</w:t>
      </w:r>
    </w:p>
    <w:p>
      <w:pPr>
        <w:pStyle w:val="Compact"/>
        <w:numPr>
          <w:ilvl w:val="0"/>
          <w:numId w:val="2"/>
        </w:numPr>
        <w:rPr/>
      </w:pPr>
      <w:r>
        <w:rPr/>
        <w:t xml:space="preserve">доступ к </w:t>
      </w:r>
      <w:r>
        <w:rPr>
          <w:rStyle w:val="VerbatimChar"/>
        </w:rPr>
        <w:t>/metrics</w:t>
      </w:r>
      <w:r>
        <w:rPr/>
        <w:t xml:space="preserve"> только для мониторинга, при общей сети — </w:t>
      </w:r>
      <w:r>
        <w:rPr>
          <w:rStyle w:val="VerbatimChar"/>
        </w:rPr>
        <w:t>METRICS_TOKEN</w:t>
      </w:r>
      <w:r>
        <w:rPr/>
        <w:t>;</w:t>
      </w:r>
    </w:p>
    <w:p>
      <w:pPr>
        <w:pStyle w:val="Compact"/>
        <w:numPr>
          <w:ilvl w:val="0"/>
          <w:numId w:val="2"/>
        </w:numPr>
        <w:rPr/>
      </w:pPr>
      <w:r>
        <w:rPr>
          <w:rStyle w:val="VerbatimChar"/>
        </w:rPr>
        <w:t>TRUST_PROXY</w:t>
      </w:r>
      <w:r>
        <w:rPr/>
        <w:t>, если прокси организации имеет публичный адрес;</w:t>
      </w:r>
    </w:p>
    <w:p>
      <w:pPr>
        <w:pStyle w:val="Compact"/>
        <w:numPr>
          <w:ilvl w:val="0"/>
          <w:numId w:val="2"/>
        </w:numPr>
        <w:rPr/>
      </w:pPr>
      <w:bookmarkStart w:id="70" w:name="X7d973599ae5d4fcafc918c69f27f1a135d3c279"/>
      <w:r>
        <w:rPr/>
        <w:t>правила организации по паролям, блокировке и сроку хранения журнала входов.</w:t>
      </w:r>
      <w:bookmarkEnd w:id="70"/>
    </w:p>
    <w:p>
      <w:pPr>
        <w:pStyle w:val="Heading1"/>
        <w:rPr/>
      </w:pPr>
      <w:bookmarkStart w:id="71" w:name="__RefHeading___Toc58620_1804324697"/>
      <w:bookmarkStart w:id="72" w:name="технологическая-независимость"/>
      <w:bookmarkEnd w:id="71"/>
      <w:r>
        <w:rPr>
          <w:rStyle w:val="SectionNumber"/>
        </w:rPr>
        <w:t>11</w:t>
      </w:r>
      <w:r>
        <w:rPr/>
        <w:tab/>
        <w:t>Технологическая независимость</w:t>
      </w:r>
    </w:p>
    <w:tbl>
      <w:tblPr>
        <w:tblStyle w:val="Table"/>
        <w:tblW w:w="5000" w:type="pct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4679"/>
        <w:gridCol w:w="4680"/>
      </w:tblGrid>
      <w:tr>
        <w:trPr>
          <w:tblHeader w:val="true"/>
        </w:trPr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Требование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Как обеспечено</w:t>
            </w:r>
          </w:p>
        </w:tc>
      </w:tr>
      <w:tr>
        <w:trPr/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Нет обращений к внешним сервисам при работе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Программный код сервера обращается только к собственной БД и к адресам, которые задаёт организация: почтовому релею (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SMTP_HOST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>) и провайдеру единого входа (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OIDC_ISSUER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); обе интеграции необязательны. Клиент обращается только к собственному серверу: CSP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connect-src 'self'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img-src 'self' data: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font-src 'self'</w:t>
            </w:r>
          </w:p>
        </w:tc>
      </w:tr>
      <w:tr>
        <w:trPr/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Нет передачи данных правообладателю и телеметрии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В программе нет модулей сбора статистики, отчётов об ошибках и связи с серверами правообладателя; журналы, метрики и резервные копии остаются в контуре организации</w:t>
            </w:r>
          </w:p>
        </w:tc>
      </w:tr>
      <w:tr>
        <w:trPr/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Нет принудительного обновления и удалённого управления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Программа не проверяет наличие обновлений, не загружает и не устанавливает их; обновление выполняет администратор организации по своему решению (раздел «Обновление» «Руководства по развёртыванию»); механизмов удалённого управления нет</w:t>
            </w:r>
          </w:p>
        </w:tc>
      </w:tr>
      <w:tr>
        <w:trPr/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Работа в закрытом контуре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Работа без доступа в интернет — требование технического задания; образ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server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 содержит утилиту миграций и все зависимости, поэтому стенд запускается и применяет миграции без сети; сборка клиента не использует внешние CDN и шрифты</w:t>
            </w:r>
          </w:p>
        </w:tc>
      </w:tr>
      <w:tr>
        <w:trPr/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Свободные компоненты под разрешительными лицензиями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SBOM CycloneDX 1.5 серверной и клиентской частей формируется в каждом прогоне CI; copyleft-лицензии и неопределённые лицензии блокируют слияние. По отчёту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docs/sbom/licenses-report.md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 — 852 компонента, все лицензии разрешительные, препятствий для регистрации не выявлено</w:t>
            </w:r>
          </w:p>
        </w:tc>
      </w:tr>
      <w:tr>
        <w:trPr/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Нет зависимости от облачных сервисов иностранных производителей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Все компоненты устанавливаются на серверы организации; общее состояние — в PostgreSQL без внешних хранилищ и брокеров</w:t>
            </w:r>
          </w:p>
        </w:tc>
      </w:tr>
    </w:tbl>
    <w:p>
      <w:pPr>
        <w:pStyle w:val="BodyText"/>
        <w:rPr/>
      </w:pPr>
      <w:r>
        <w:rPr/>
        <w:t xml:space="preserve">Утилита миграций Prisma CLI, которая запускается при старте контейнера </w:t>
      </w:r>
      <w:r>
        <w:rPr>
          <w:rStyle w:val="VerbatimChar"/>
        </w:rPr>
        <w:t>server</w:t>
      </w:r>
      <w:r>
        <w:rPr/>
        <w:t xml:space="preserve"> (</w:t>
      </w:r>
      <w:r>
        <w:rPr>
          <w:rStyle w:val="VerbatimChar"/>
        </w:rPr>
        <w:t>prisma migrate deploy</w:t>
      </w:r>
      <w:r>
        <w:rPr/>
        <w:t>), умеет проверять наличие новой версии на сервере разработчика утилиты (</w:t>
      </w:r>
      <w:r>
        <w:rPr>
          <w:rStyle w:val="VerbatimChar"/>
        </w:rPr>
        <w:t>checkpoint.prisma.io</w:t>
      </w:r>
      <w:r>
        <w:rPr/>
        <w:t xml:space="preserve">). В образе </w:t>
      </w:r>
      <w:r>
        <w:rPr>
          <w:rStyle w:val="VerbatimChar"/>
        </w:rPr>
        <w:t>server</w:t>
      </w:r>
      <w:r>
        <w:rPr/>
        <w:t xml:space="preserve"> эта проверка отключена переменной </w:t>
      </w:r>
      <w:r>
        <w:rPr>
          <w:rStyle w:val="VerbatimChar"/>
        </w:rPr>
        <w:t>CHECKPOINT_DISABLE=1</w:t>
      </w:r>
      <w:r>
        <w:rPr/>
        <w:t xml:space="preserve"> — и при сборке, и при работе (</w:t>
      </w:r>
      <w:r>
        <w:rPr>
          <w:rStyle w:val="VerbatimChar"/>
        </w:rPr>
        <w:t>server/Dockerfile</w:t>
      </w:r>
      <w:r>
        <w:rPr/>
        <w:t>, версия 1.0.0).</w:t>
      </w:r>
    </w:p>
    <w:p>
      <w:pPr>
        <w:pStyle w:val="Heading2"/>
        <w:rPr/>
      </w:pPr>
      <w:bookmarkStart w:id="73" w:name="__RefHeading___Toc58622_1804324697"/>
      <w:bookmarkEnd w:id="73"/>
      <w:r>
        <w:rPr>
          <w:rStyle w:val="SectionNumber"/>
        </w:rPr>
        <w:t>11.1</w:t>
      </w:r>
      <w:r>
        <w:rPr/>
        <w:tab/>
        <w:t>Сетевые взаимодействия</w:t>
      </w:r>
    </w:p>
    <w:tbl>
      <w:tblPr>
        <w:tblStyle w:val="Table"/>
        <w:tblW w:w="5000" w:type="pct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339"/>
        <w:gridCol w:w="2340"/>
        <w:gridCol w:w="2340"/>
        <w:gridCol w:w="2340"/>
      </w:tblGrid>
      <w:tr>
        <w:trPr>
          <w:tblHeader w:val="true"/>
        </w:trPr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Направление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Протокол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Когда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Настраивает</w:t>
            </w:r>
          </w:p>
        </w:tc>
      </w:tr>
      <w:tr>
        <w:trPr/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Браузер → обратный прокси →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web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HTTPS → HTTP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Всегда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Организация (TLS)</w:t>
            </w:r>
          </w:p>
        </w:tc>
      </w:tr>
      <w:tr>
        <w:trPr/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web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 →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server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HTTP внутри сети стенда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Всегда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Поставка</w:t>
            </w:r>
          </w:p>
        </w:tc>
      </w:tr>
      <w:tr>
        <w:trPr/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server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 →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postgres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Протокол PostgreSQL внутри сети стенда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Всегда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Поставка</w:t>
            </w:r>
          </w:p>
        </w:tc>
      </w:tr>
      <w:tr>
        <w:trPr/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server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 → почтовый релей организации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SMTP (STARTTLS или TLS)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Если задан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SMTP_HOST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Организация</w:t>
            </w:r>
          </w:p>
        </w:tc>
      </w:tr>
      <w:tr>
        <w:trPr/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server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 → провайдер единого входа организации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HTTPS (discovery, JWKS, обмен кода)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Если задан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OIDC_ISSUER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Организация</w:t>
            </w:r>
          </w:p>
        </w:tc>
      </w:tr>
      <w:tr>
        <w:trPr/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Prometheus →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server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HTTP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/metrics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 внутри сети стенда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Профиль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monitoring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 или Prometheus организации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Организация</w:t>
            </w:r>
          </w:p>
        </w:tc>
      </w:tr>
      <w:tr>
        <w:trPr/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postgres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 →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postgres-replica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Потоковая репликация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С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docker-compose.replica.yml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Организация</w:t>
            </w:r>
            <w:bookmarkStart w:id="74" w:name="сетевые-взаимодействия"/>
            <w:bookmarkEnd w:id="74"/>
          </w:p>
        </w:tc>
      </w:tr>
    </w:tbl>
    <w:p>
      <w:pPr>
        <w:pStyle w:val="Heading2"/>
        <w:rPr/>
      </w:pPr>
      <w:bookmarkStart w:id="75" w:name="__RefHeading___Toc58624_1804324697"/>
      <w:bookmarkEnd w:id="75"/>
      <w:r>
        <w:rPr>
          <w:rStyle w:val="SectionNumber"/>
        </w:rPr>
        <w:t>11.2</w:t>
      </w:r>
      <w:r>
        <w:rPr/>
        <w:tab/>
        <w:t>Образы и зависимости</w:t>
      </w:r>
    </w:p>
    <w:tbl>
      <w:tblPr>
        <w:tblStyle w:val="Table"/>
        <w:tblW w:w="5000" w:type="pct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Компонент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Источник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Назначение</w:t>
            </w:r>
          </w:p>
        </w:tc>
      </w:tr>
      <w:tr>
        <w:trPr/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node:22-alpine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Реестр образов Docker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Сборка и выполнение сервера, сборка клиента</w:t>
            </w:r>
          </w:p>
        </w:tc>
      </w:tr>
      <w:tr>
        <w:trPr/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nginx:1.27-alpine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Реестр образов Docker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Отдача клиента и проксирование API</w:t>
            </w:r>
          </w:p>
        </w:tc>
      </w:tr>
      <w:tr>
        <w:trPr/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postgres:17-alpine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Реестр образов Docker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СУБД, резервные копии, реплика, физические копии</w:t>
            </w:r>
          </w:p>
        </w:tc>
      </w:tr>
      <w:tr>
        <w:trPr/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prom/prometheus:v3.5.0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Реестр образов Docker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Необязательный сбор метрик</w:t>
            </w:r>
          </w:p>
        </w:tc>
      </w:tr>
      <w:tr>
        <w:trPr/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npm-пакеты сервера и клиента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Реестр npm; версии зафиксированы в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package-lock.json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Зависимости приложения; состав — SBOM</w:t>
            </w:r>
          </w:p>
        </w:tc>
      </w:tr>
    </w:tbl>
    <w:p>
      <w:pPr>
        <w:pStyle w:val="BodyText"/>
        <w:rPr/>
      </w:pPr>
      <w:r>
        <w:rPr/>
        <w:t xml:space="preserve">Сборка образов из исходных текстов требует доступа к реестру npm и реестру образов Docker либо к их зеркалам в контуре организации; работа собранной системы доступа к ним не требует. SBOM охватывает npm-зависимости сервера и клиента; программы в базовых образах контейнеров и их лицензии перечислены в документе «Сторонние компоненты и лицензии». Способ передачи готовых образов для установки без доступа к реестрам: </w:t>
      </w:r>
      <w:r>
        <w:rPr>
          <w:rStyle w:val="VerbatimChar"/>
        </w:rPr>
        <w:t>[заполняет правообладатель: дистрибутив образов и контрольные суммы]</w:t>
      </w:r>
      <w:r>
        <w:rPr/>
        <w:t>.</w:t>
      </w:r>
    </w:p>
    <w:p>
      <w:pPr>
        <w:pStyle w:val="Heading2"/>
        <w:rPr/>
      </w:pPr>
      <w:bookmarkStart w:id="76" w:name="__RefHeading___Toc58626_1804324697"/>
      <w:bookmarkStart w:id="77" w:name="независимость-процессов-разработки"/>
      <w:bookmarkEnd w:id="76"/>
      <w:r>
        <w:rPr>
          <w:rStyle w:val="SectionNumber"/>
        </w:rPr>
        <w:t>11.3</w:t>
      </w:r>
      <w:r>
        <w:rPr/>
        <w:tab/>
        <w:t>Независимость процессов разработки</w:t>
      </w:r>
    </w:p>
    <w:p>
      <w:pPr>
        <w:pStyle w:val="FirstParagraph"/>
        <w:rPr/>
      </w:pPr>
      <w:r>
        <w:rPr/>
        <w:t>Исходные тексты ведутся в Git и зеркалируются в GitHub и в Gitea организации. Конвейер Gitea Actions (</w:t>
      </w:r>
      <w:r>
        <w:rPr>
          <w:rStyle w:val="VerbatimChar"/>
        </w:rPr>
        <w:t>.gitea/workflows/server-ci.yml</w:t>
      </w:r>
      <w:r>
        <w:rPr/>
        <w:t xml:space="preserve">) выполняет на собственных раннерах организации основной набор проверок — тесты сервера на PostgreSQL, проверку обновления на данных, сборку и тесты клиента, e2e интерфейса, SBOM и лицензионный гейт — и развёртывает стенд раннером </w:t>
      </w:r>
      <w:r>
        <w:rPr>
          <w:rStyle w:val="VerbatimChar"/>
        </w:rPr>
        <w:t>deploy</w:t>
      </w:r>
      <w:r>
        <w:rPr/>
        <w:t>, получая код архивом из самого Gitea. Gitea — свободное ПО для размещения на собственных серверах, поэтому разработка, проверка и выпуск версий не зависят от доступности GitHub; размещение сервера Gitea указано в «Описании процессов жизненного цикла». Для полной автономии конвейера в контуре разработчика зеркалируются внешние источники, к которым обращаются задания: реестр npm, реестр образов Docker, используемые действия (</w:t>
      </w:r>
      <w:r>
        <w:rPr>
          <w:rStyle w:val="VerbatimChar"/>
        </w:rPr>
        <w:t>actions/checkout</w:t>
      </w:r>
      <w:r>
        <w:rPr/>
        <w:t xml:space="preserve">, </w:t>
      </w:r>
      <w:r>
        <w:rPr>
          <w:rStyle w:val="VerbatimChar"/>
        </w:rPr>
        <w:t>actions/upload-artifact</w:t>
      </w:r>
      <w:r>
        <w:rPr/>
        <w:t>) и браузер Chromium для Playwright.</w:t>
      </w:r>
      <w:bookmarkEnd w:id="72"/>
      <w:bookmarkEnd w:id="77"/>
    </w:p>
    <w:p>
      <w:pPr>
        <w:pStyle w:val="Heading1"/>
        <w:rPr/>
      </w:pPr>
      <w:bookmarkStart w:id="78" w:name="__RefHeading___Toc58628_1804324697"/>
      <w:bookmarkEnd w:id="78"/>
      <w:r>
        <w:rPr>
          <w:rStyle w:val="SectionNumber"/>
        </w:rPr>
        <w:t>12</w:t>
      </w:r>
      <w:r>
        <w:rPr/>
        <w:tab/>
        <w:t>Наблюдаемость и эксплуатация</w:t>
      </w:r>
    </w:p>
    <w:tbl>
      <w:tblPr>
        <w:tblStyle w:val="Table"/>
        <w:tblW w:w="5000" w:type="pct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4679"/>
        <w:gridCol w:w="4680"/>
      </w:tblGrid>
      <w:tr>
        <w:trPr>
          <w:tblHeader w:val="true"/>
        </w:trPr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Задача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Средство</w:t>
            </w:r>
          </w:p>
        </w:tc>
      </w:tr>
      <w:tr>
        <w:trPr/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Живость и готовность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GET /healthz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 (процесс),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GET /readyz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 (запрос к БД); healthcheck контейнера PostgreSQL в compose</w:t>
            </w:r>
          </w:p>
        </w:tc>
      </w:tr>
      <w:tr>
        <w:trPr/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Метрики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GET /metrics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 в формате Prometheus: задержки и коды ответов по шаблонам маршрутов, задержка цикла событий, процессор и память, потоки SSE; из БД — соединения по состояниям, очередь писем, плановые задачи, реплики и архив WAL. Процессы кластера складываются; реестр метрик собственный, без сторонней библиотеки</w:t>
            </w:r>
          </w:p>
        </w:tc>
      </w:tr>
      <w:tr>
        <w:trPr/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Оповещения и панель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deploy/monitoring/alerts.yml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 — 15 правил: доступность API и БД, ошибки 5xx, задержки чтения и записи, перегрузка и соединения БД, долгие транзакции, задержка цикла событий, почта и сводка, реплика и архив WAL; панель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deploy/monitoring/grafana-dashboard.json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 импортируется в Grafana организации (Grafana в поставку не входит)</w:t>
            </w:r>
          </w:p>
        </w:tc>
      </w:tr>
      <w:tr>
        <w:trPr/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Журналы и разбор инцидентов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JSON-журнал сервера и журнал nginx, связанные идентификатором запроса; «Код запроса» показывается пользователю при ошибке сервера; регламент «симптом → метрика → причина → действие»,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pg_stat_statements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, профиль процессора и снимок памяти —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docs/runbooks/diagnostics.md</w:t>
            </w:r>
          </w:p>
        </w:tc>
      </w:tr>
      <w:tr>
        <w:trPr/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Резервное копирование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Сервис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backup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: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pg_dump -Fc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 раз в сутки, хранение 14 дней; ежемесячная проверка восстановления в отдельную БД</w:t>
            </w:r>
          </w:p>
        </w:tc>
      </w:tr>
      <w:tr>
        <w:trPr/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Реплика и архив WAL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docker-compose.replica.yml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>: горячий резерв, архив WAL (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archive_timeout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 5 минут), ежедневные физические копии; ручное проверяемое переключение на реплику (ADR-014), отрабатывается в CI GitHub</w:t>
            </w:r>
          </w:p>
        </w:tc>
      </w:tr>
      <w:tr>
        <w:trPr/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Целевые показатели восстановления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С репликой и архивом WAL: RPO — секунды (реплика) или до 5 минут (архив), RTO — около 15 минут по инструкции. Без них: RPO 24 часа, RTO 1 час</w:t>
            </w:r>
          </w:p>
        </w:tc>
      </w:tr>
      <w:tr>
        <w:trPr/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Миграции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prisma migrate deploy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 при старте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server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>; повторный запуск безопасен; CI проверяет обновление с данными предыдущего выпуска (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scripts/upgrade-check.sh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>)</w:t>
            </w:r>
          </w:p>
        </w:tc>
      </w:tr>
      <w:tr>
        <w:trPr/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Штатный останов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Процесс сервера получает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SIGTERM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 от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docker compose stop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>, завершает запросы и потоки событий; главный процесс кластера ждёт рабочие до 15 секунд</w:t>
            </w:r>
            <w:bookmarkStart w:id="79" w:name="наблюдаемость-и-эксплуатация"/>
            <w:bookmarkEnd w:id="79"/>
          </w:p>
        </w:tc>
      </w:tr>
    </w:tbl>
    <w:p>
      <w:pPr>
        <w:pStyle w:val="Heading1"/>
        <w:rPr/>
      </w:pPr>
      <w:bookmarkStart w:id="80" w:name="__RefHeading___Toc58630_1804324697"/>
      <w:bookmarkEnd w:id="80"/>
      <w:r>
        <w:rPr>
          <w:rStyle w:val="SectionNumber"/>
        </w:rPr>
        <w:t>13</w:t>
      </w:r>
      <w:r>
        <w:rPr/>
        <w:tab/>
        <w:t>Технологический стек</w:t>
      </w:r>
    </w:p>
    <w:tbl>
      <w:tblPr>
        <w:tblStyle w:val="Table"/>
        <w:tblW w:w="5000" w:type="pct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Область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Компоненты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Лицензии</w:t>
            </w:r>
          </w:p>
        </w:tc>
      </w:tr>
      <w:tr>
        <w:trPr/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Клиент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Vue 3.5, Pinia 2.3, vue-router 4.6, Vite 6, TypeScript 5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MIT, Apache-2.0 (TypeScript)</w:t>
            </w:r>
          </w:p>
        </w:tc>
      </w:tr>
      <w:tr>
        <w:trPr/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Сервер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Node.js 22 LTS (минимальная поддерживаемая — 20), NestJS 11 (платформа Express), class-validator, jsonwebtoken, cookie-parser, exceljs, nodemailer, @nestjs/swagger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MIT, MIT-0 (nodemailer)</w:t>
            </w:r>
          </w:p>
        </w:tc>
      </w:tr>
      <w:tr>
        <w:trPr/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Данные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PostgreSQL 17, Prisma 6 (схема, миграции, клиент)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PostgreSQL License, Apache-2.0 (Prisma)</w:t>
            </w:r>
          </w:p>
        </w:tc>
      </w:tr>
      <w:tr>
        <w:trPr/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Инфраструктура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Docker, Docker Compose, nginx 1.27, Prometheus 3 (необязательно)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—</w:t>
            </w:r>
          </w:p>
        </w:tc>
      </w:tr>
      <w:tr>
        <w:trPr/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Качество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Vitest, supertest, Playwright, ESLint 9, vue-tsc, CycloneDX (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@cyclonedx/cyclonedx-npm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>)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MIT, Apache-2.0</w:t>
            </w:r>
          </w:p>
        </w:tc>
      </w:tr>
    </w:tbl>
    <w:p>
      <w:pPr>
        <w:pStyle w:val="BodyText"/>
        <w:rPr/>
      </w:pPr>
      <w:r>
        <w:rPr/>
        <w:t>Все компоненты — свободное ПО; полный перечень npm-зависимостей с версиями и лицензиями — SBOM (</w:t>
      </w:r>
      <w:r>
        <w:rPr>
          <w:rStyle w:val="VerbatimChar"/>
        </w:rPr>
        <w:t>sbom/server.cdx.json</w:t>
      </w:r>
      <w:r>
        <w:rPr/>
        <w:t xml:space="preserve">, </w:t>
      </w:r>
      <w:r>
        <w:rPr>
          <w:rStyle w:val="VerbatimChar"/>
        </w:rPr>
        <w:t>sbom/web.cdx.json</w:t>
      </w:r>
      <w:r>
        <w:rPr/>
        <w:t xml:space="preserve">, CycloneDX 1.5) и отчёт </w:t>
      </w:r>
      <w:r>
        <w:rPr>
          <w:rStyle w:val="VerbatimChar"/>
        </w:rPr>
        <w:t>docs/sbom/licenses-report.md</w:t>
      </w:r>
      <w:r>
        <w:rPr/>
        <w:t xml:space="preserve">. Инструменты разработки и тестирования в рабочие образы не входят: образ </w:t>
      </w:r>
      <w:r>
        <w:rPr>
          <w:rStyle w:val="VerbatimChar"/>
        </w:rPr>
        <w:t>server</w:t>
      </w:r>
      <w:r>
        <w:rPr/>
        <w:t xml:space="preserve"> собирается без dev-зависимостей.</w:t>
      </w:r>
    </w:p>
    <w:p>
      <w:pPr>
        <w:pStyle w:val="Heading1"/>
        <w:rPr/>
      </w:pPr>
      <w:bookmarkStart w:id="81" w:name="__RefHeading___Toc58632_1804324697"/>
      <w:bookmarkEnd w:id="81"/>
      <w:r>
        <w:rPr>
          <w:rStyle w:val="SectionNumber"/>
        </w:rPr>
        <w:t>14</w:t>
      </w:r>
      <w:r>
        <w:rPr/>
        <w:tab/>
        <w:t>Ключевые архитектурные решения</w:t>
      </w:r>
    </w:p>
    <w:tbl>
      <w:tblPr>
        <w:tblStyle w:val="Table"/>
        <w:tblW w:w="5000" w:type="pct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Решение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Альтернатива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Обоснование</w:t>
            </w:r>
          </w:p>
        </w:tc>
      </w:tr>
      <w:tr>
        <w:trPr/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Модульный монолит NestJS (ADR-001, ADR-009)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Микросервисы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Масштаб организации обслуживается одним приложением; DI, guards и OpenAPI из коробки; модули повторяют предметные области</w:t>
            </w:r>
          </w:p>
        </w:tc>
      </w:tr>
      <w:tr>
        <w:trPr/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PostgreSQL с первой версии (ADR-010)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SQLite с последующим переходом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Конкурентная запись, транзакции, репликация; нет миграционного долга</w:t>
            </w:r>
          </w:p>
        </w:tc>
      </w:tr>
      <w:tr>
        <w:trPr/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JWT и refresh с ротацией в БД (ADR-003, ADR-015)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Серверные сессии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Сервер без состояния для горизонтального масштабирования; отзыв и сеансы — через таблицу</w:t>
            </w:r>
          </w:p>
        </w:tc>
      </w:tr>
      <w:tr>
        <w:trPr/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scrypt из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node:crypto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 (ADR-003)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bcrypt, argon2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Без нативных зависимостей, достаточная стойкость</w:t>
            </w:r>
          </w:p>
        </w:tc>
      </w:tr>
      <w:tr>
        <w:trPr/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Аудит в транзакции изменения (ADR-006)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Асинхронные события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Журнал всегда согласован с данными</w:t>
            </w:r>
          </w:p>
        </w:tc>
      </w:tr>
      <w:tr>
        <w:trPr/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Vue 3 без библиотек компонентов (ADR-011)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PrimeVue, Quasar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Единая дизайн-система; минимальный состав сторонних компонентов</w:t>
            </w:r>
          </w:p>
        </w:tc>
      </w:tr>
      <w:tr>
        <w:trPr/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Общее состояние в PostgreSQL (ADR-012)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Redis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Одно хранилище в поставке и резервном копировании</w:t>
            </w:r>
          </w:p>
        </w:tc>
      </w:tr>
      <w:tr>
        <w:trPr/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SSE и опрос БД (ADR-013)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WebSocket, брокер сообщений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Сигналу «есть изменения» не нужен двусторонний канал; меньше компонентов</w:t>
            </w:r>
          </w:p>
        </w:tc>
      </w:tr>
      <w:tr>
        <w:trPr/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Реплика и архив WAL штатными средствами (ADR-014)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Patroni, repmgr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RPO и RTO требований достигаются без сервиса согласования</w:t>
            </w:r>
          </w:p>
        </w:tc>
      </w:tr>
      <w:tr>
        <w:trPr/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Утверждённый график — снимок (ADR-016)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Пометка на заявках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Запланированная дата формы Т-7 неизменна после утверждения</w:t>
            </w:r>
          </w:p>
        </w:tc>
      </w:tr>
      <w:tr>
        <w:trPr/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Плановые задачи с идемпотентностью в БД (ADR-017)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Отдельный планировщик, выбор лидера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Работают при любом числе процессов и экземпляров без новых компонентов</w:t>
            </w:r>
            <w:bookmarkStart w:id="82" w:name="ключевые-архитектурные-решения"/>
            <w:bookmarkEnd w:id="82"/>
          </w:p>
        </w:tc>
      </w:tr>
    </w:tbl>
    <w:p>
      <w:pPr>
        <w:pStyle w:val="Heading1"/>
        <w:rPr/>
      </w:pPr>
      <w:bookmarkStart w:id="83" w:name="__RefHeading___Toc58634_1804324697"/>
      <w:bookmarkEnd w:id="83"/>
      <w:r>
        <w:rPr>
          <w:rStyle w:val="SectionNumber"/>
        </w:rPr>
        <w:t>15</w:t>
      </w:r>
      <w:r>
        <w:rPr/>
        <w:tab/>
        <w:t>Направления развития архитектуры</w:t>
      </w:r>
    </w:p>
    <w:p>
      <w:pPr>
        <w:pStyle w:val="FirstParagraph"/>
        <w:rPr/>
      </w:pPr>
      <w:r>
        <w:rPr/>
        <w:t>Записи ADR фиксируют условия, при которых решения пересматриваются:</w:t>
      </w:r>
    </w:p>
    <w:p>
      <w:pPr>
        <w:pStyle w:val="Compact"/>
        <w:numPr>
          <w:ilvl w:val="0"/>
          <w:numId w:val="6"/>
        </w:numPr>
        <w:rPr/>
      </w:pPr>
      <w:r>
        <w:rPr/>
        <w:t>больше 20 000 пользователей или несколько площадок — внешнее хранилище для лимитов и событий (ADR-012);</w:t>
      </w:r>
    </w:p>
    <w:p>
      <w:pPr>
        <w:pStyle w:val="Compact"/>
        <w:numPr>
          <w:ilvl w:val="0"/>
          <w:numId w:val="7"/>
        </w:numPr>
        <w:rPr/>
      </w:pPr>
      <w:r>
        <w:rPr/>
        <w:t>больше 10 000 одновременных вкладок или доставка данных, а не сигнала, — пересмотр механизма живых обновлений (ADR-013);</w:t>
      </w:r>
    </w:p>
    <w:p>
      <w:pPr>
        <w:pStyle w:val="Compact"/>
        <w:numPr>
          <w:ilvl w:val="0"/>
          <w:numId w:val="8"/>
        </w:numPr>
        <w:rPr/>
      </w:pPr>
      <w:r>
        <w:rPr/>
        <w:t>требование RTO меньше 5 минут или несколько площадок — автоматическое переключение кластера PostgreSQL (ADR-014);</w:t>
      </w:r>
    </w:p>
    <w:p>
      <w:pPr>
        <w:pStyle w:val="Compact"/>
        <w:numPr>
          <w:ilvl w:val="0"/>
          <w:numId w:val="9"/>
        </w:numPr>
        <w:rPr/>
      </w:pPr>
      <w:r>
        <w:rPr/>
        <w:t xml:space="preserve">требование второго фактора — TOTP поверх существующей модели сеансов; мгновенное завершение сеансов во всех процессах — публикация события через </w:t>
      </w:r>
      <w:r>
        <w:rPr>
          <w:rStyle w:val="VerbatimChar"/>
        </w:rPr>
        <w:t>LISTEN/NOTIFY</w:t>
      </w:r>
      <w:r>
        <w:rPr/>
        <w:t xml:space="preserve"> (ADR-015);</w:t>
      </w:r>
    </w:p>
    <w:p>
      <w:pPr>
        <w:pStyle w:val="Compact"/>
        <w:numPr>
          <w:ilvl w:val="0"/>
          <w:numId w:val="10"/>
        </w:numPr>
        <w:rPr/>
      </w:pPr>
      <w:r>
        <w:rPr/>
        <w:t>тяжёлые плановые задачи — отдельный рабочий процесс с очередью в PostgreSQL (ADR-017).</w:t>
      </w:r>
    </w:p>
    <w:p>
      <w:pPr>
        <w:pStyle w:val="Heading1"/>
        <w:rPr/>
      </w:pPr>
      <w:bookmarkStart w:id="84" w:name="__RefHeading___Toc58636_1804324697"/>
      <w:bookmarkEnd w:id="84"/>
      <w:r>
        <w:rPr>
          <w:rStyle w:val="SectionNumber"/>
        </w:rPr>
        <w:t>16</w:t>
      </w:r>
      <w:r>
        <w:rPr/>
        <w:tab/>
        <w:t>Приложение А. Словарь данных</w:t>
      </w:r>
    </w:p>
    <w:p>
      <w:pPr>
        <w:pStyle w:val="FirstParagraph"/>
        <w:rPr/>
      </w:pPr>
      <w:r>
        <w:rPr/>
        <w:t xml:space="preserve">Состав полей всех таблиц сформирован из </w:t>
      </w:r>
      <w:r>
        <w:rPr>
          <w:rStyle w:val="VerbatimChar"/>
        </w:rPr>
        <w:t>server/prisma/schema.prisma</w:t>
      </w:r>
      <w:r>
        <w:rPr/>
        <w:t>. Связи между таблицами показаны на ER-диаграммах раздела «Модель данных»; признаки: PK — первичный ключ, UK — уникальное значение, null — необязательное поле.</w:t>
      </w:r>
    </w:p>
    <w:p>
      <w:pPr>
        <w:pStyle w:val="BodyText"/>
        <w:rPr/>
      </w:pPr>
      <w:r>
        <w:rPr>
          <w:rStyle w:val="VerbatimChar"/>
          <w:b/>
          <w:bCs/>
        </w:rPr>
        <w:t>employees</w:t>
      </w:r>
      <w:r>
        <w:rPr/>
        <w:t xml:space="preserve"> — Сотрудники: учётные записи, роли, нормы дней</w:t>
      </w:r>
    </w:p>
    <w:tbl>
      <w:tblPr>
        <w:tblStyle w:val="Table"/>
        <w:tblW w:w="5000" w:type="pct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339"/>
        <w:gridCol w:w="2340"/>
        <w:gridCol w:w="2340"/>
        <w:gridCol w:w="2340"/>
      </w:tblGrid>
      <w:tr>
        <w:trPr>
          <w:tblHeader w:val="true"/>
        </w:trPr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Поле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Тип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Признаки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Примечание</w:t>
            </w:r>
          </w:p>
        </w:tc>
      </w:tr>
      <w:tr>
        <w:trPr/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id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Int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PK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login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String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UK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password_hash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String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pw_version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Int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name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String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email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String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null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уникальность без учёта регистра — частичным индексом в миграции employee_email</w:t>
            </w:r>
          </w:p>
        </w:tc>
      </w:tr>
      <w:tr>
        <w:trPr/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position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String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null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dept_id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Int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null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role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String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employee | manager</w:t>
            </w:r>
          </w:p>
        </w:tc>
      </w:tr>
      <w:tr>
        <w:trPr/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is_admin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Boolean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is_hr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Boolean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кадровая служба: сотрудники, календарь, импорт, выгрузки, аудит</w:t>
            </w:r>
          </w:p>
        </w:tc>
      </w:tr>
      <w:tr>
        <w:trPr/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emp_type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String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staff | ipsz</w:t>
            </w:r>
          </w:p>
        </w:tc>
      </w:tr>
      <w:tr>
        <w:trPr/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manager_id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Int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null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projectId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Int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null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planned_days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Float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carry_over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Float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is_active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Boolean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email_notifications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Boolean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отписка — в профиле</w:t>
            </w:r>
          </w:p>
        </w:tc>
      </w:tr>
      <w:tr>
        <w:trPr/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must_change_password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Boolean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пароль выдан при создании или сбросе (v0.6.0)</w:t>
            </w:r>
          </w:p>
        </w:tc>
      </w:tr>
      <w:tr>
        <w:trPr/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password_changed_at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DateTime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null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personnel_number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String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UK null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табельный номер — графа 4 формы Т-7 (v0.6.0)</w:t>
            </w:r>
          </w:p>
        </w:tc>
      </w:tr>
      <w:tr>
        <w:trPr/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created_at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DateTime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updated_at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DateTime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</w:tr>
    </w:tbl>
    <w:p>
      <w:pPr>
        <w:pStyle w:val="BodyText"/>
        <w:rPr/>
      </w:pPr>
      <w:r>
        <w:rPr>
          <w:rStyle w:val="VerbatimChar"/>
          <w:b/>
          <w:bCs/>
        </w:rPr>
        <w:t>departments</w:t>
      </w:r>
      <w:r>
        <w:rPr/>
        <w:t xml:space="preserve"> — Отделы и их руководители</w:t>
      </w:r>
    </w:p>
    <w:tbl>
      <w:tblPr>
        <w:tblStyle w:val="Table"/>
        <w:tblW w:w="7920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1980"/>
        <w:gridCol w:w="1980"/>
        <w:gridCol w:w="1980"/>
        <w:gridCol w:w="1979"/>
      </w:tblGrid>
      <w:tr>
        <w:trPr>
          <w:tblHeader w:val="true"/>
        </w:trPr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Поле</w:t>
            </w:r>
          </w:p>
        </w:tc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Тип</w:t>
            </w:r>
          </w:p>
        </w:tc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Признаки</w:t>
            </w:r>
          </w:p>
        </w:tc>
        <w:tc>
          <w:tcPr>
            <w:tcW w:w="1979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Примечание</w:t>
            </w:r>
          </w:p>
        </w:tc>
      </w:tr>
      <w:tr>
        <w:trPr/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id</w:t>
            </w:r>
          </w:p>
        </w:tc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Int</w:t>
            </w:r>
          </w:p>
        </w:tc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PK</w:t>
            </w:r>
          </w:p>
        </w:tc>
        <w:tc>
          <w:tcPr>
            <w:tcW w:w="19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name</w:t>
            </w:r>
          </w:p>
        </w:tc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String</w:t>
            </w:r>
          </w:p>
        </w:tc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UK</w:t>
            </w:r>
          </w:p>
        </w:tc>
        <w:tc>
          <w:tcPr>
            <w:tcW w:w="19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manager_id</w:t>
            </w:r>
          </w:p>
        </w:tc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Int</w:t>
            </w:r>
          </w:p>
        </w:tc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null</w:t>
            </w:r>
          </w:p>
        </w:tc>
        <w:tc>
          <w:tcPr>
            <w:tcW w:w="19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</w:tr>
    </w:tbl>
    <w:p>
      <w:pPr>
        <w:pStyle w:val="BodyText"/>
        <w:rPr/>
      </w:pPr>
      <w:r>
        <w:rPr>
          <w:rStyle w:val="VerbatimChar"/>
          <w:b/>
          <w:bCs/>
        </w:rPr>
        <w:t>projects</w:t>
      </w:r>
      <w:r>
        <w:rPr/>
        <w:t xml:space="preserve"> — Проекты и руководители проектов</w:t>
      </w:r>
    </w:p>
    <w:tbl>
      <w:tblPr>
        <w:tblStyle w:val="Table"/>
        <w:tblW w:w="7920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1980"/>
        <w:gridCol w:w="1980"/>
        <w:gridCol w:w="1980"/>
        <w:gridCol w:w="1979"/>
      </w:tblGrid>
      <w:tr>
        <w:trPr>
          <w:tblHeader w:val="true"/>
        </w:trPr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Поле</w:t>
            </w:r>
          </w:p>
        </w:tc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Тип</w:t>
            </w:r>
          </w:p>
        </w:tc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Признаки</w:t>
            </w:r>
          </w:p>
        </w:tc>
        <w:tc>
          <w:tcPr>
            <w:tcW w:w="1979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Примечание</w:t>
            </w:r>
          </w:p>
        </w:tc>
      </w:tr>
      <w:tr>
        <w:trPr/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id</w:t>
            </w:r>
          </w:p>
        </w:tc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Int</w:t>
            </w:r>
          </w:p>
        </w:tc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PK</w:t>
            </w:r>
          </w:p>
        </w:tc>
        <w:tc>
          <w:tcPr>
            <w:tcW w:w="19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name</w:t>
            </w:r>
          </w:p>
        </w:tc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String</w:t>
            </w:r>
          </w:p>
        </w:tc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UK</w:t>
            </w:r>
          </w:p>
        </w:tc>
        <w:tc>
          <w:tcPr>
            <w:tcW w:w="19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manager_id</w:t>
            </w:r>
          </w:p>
        </w:tc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Int</w:t>
            </w:r>
          </w:p>
        </w:tc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null</w:t>
            </w:r>
          </w:p>
        </w:tc>
        <w:tc>
          <w:tcPr>
            <w:tcW w:w="19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</w:tr>
    </w:tbl>
    <w:p>
      <w:pPr>
        <w:pStyle w:val="BodyText"/>
        <w:rPr/>
      </w:pPr>
      <w:r>
        <w:rPr>
          <w:rStyle w:val="VerbatimChar"/>
          <w:b/>
          <w:bCs/>
        </w:rPr>
        <w:t>groups</w:t>
      </w:r>
      <w:r>
        <w:rPr/>
        <w:t xml:space="preserve"> — Личные группы для фильтров графика</w:t>
      </w:r>
    </w:p>
    <w:tbl>
      <w:tblPr>
        <w:tblStyle w:val="Table"/>
        <w:tblW w:w="7920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1980"/>
        <w:gridCol w:w="1980"/>
        <w:gridCol w:w="1980"/>
        <w:gridCol w:w="1979"/>
      </w:tblGrid>
      <w:tr>
        <w:trPr>
          <w:tblHeader w:val="true"/>
        </w:trPr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Поле</w:t>
            </w:r>
          </w:p>
        </w:tc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Тип</w:t>
            </w:r>
          </w:p>
        </w:tc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Признаки</w:t>
            </w:r>
          </w:p>
        </w:tc>
        <w:tc>
          <w:tcPr>
            <w:tcW w:w="1979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Примечание</w:t>
            </w:r>
          </w:p>
        </w:tc>
      </w:tr>
      <w:tr>
        <w:trPr/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id</w:t>
            </w:r>
          </w:p>
        </w:tc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Int</w:t>
            </w:r>
          </w:p>
        </w:tc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PK</w:t>
            </w:r>
          </w:p>
        </w:tc>
        <w:tc>
          <w:tcPr>
            <w:tcW w:w="19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owner_id</w:t>
            </w:r>
          </w:p>
        </w:tc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Int</w:t>
            </w:r>
          </w:p>
        </w:tc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  <w:tc>
          <w:tcPr>
            <w:tcW w:w="19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name</w:t>
            </w:r>
          </w:p>
        </w:tc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String</w:t>
            </w:r>
          </w:p>
        </w:tc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  <w:tc>
          <w:tcPr>
            <w:tcW w:w="19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</w:tr>
    </w:tbl>
    <w:p>
      <w:pPr>
        <w:pStyle w:val="BodyText"/>
        <w:rPr/>
      </w:pPr>
      <w:r>
        <w:rPr>
          <w:rStyle w:val="VerbatimChar"/>
          <w:b/>
          <w:bCs/>
        </w:rPr>
        <w:t>group_members</w:t>
      </w:r>
      <w:r>
        <w:rPr/>
        <w:t xml:space="preserve"> — Состав личных групп</w:t>
      </w:r>
    </w:p>
    <w:tbl>
      <w:tblPr>
        <w:tblStyle w:val="Table"/>
        <w:tblW w:w="7920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1980"/>
        <w:gridCol w:w="1980"/>
        <w:gridCol w:w="1980"/>
        <w:gridCol w:w="1979"/>
      </w:tblGrid>
      <w:tr>
        <w:trPr>
          <w:tblHeader w:val="true"/>
        </w:trPr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Поле</w:t>
            </w:r>
          </w:p>
        </w:tc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Тип</w:t>
            </w:r>
          </w:p>
        </w:tc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Признаки</w:t>
            </w:r>
          </w:p>
        </w:tc>
        <w:tc>
          <w:tcPr>
            <w:tcW w:w="1979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Примечание</w:t>
            </w:r>
          </w:p>
        </w:tc>
      </w:tr>
      <w:tr>
        <w:trPr/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group_id</w:t>
            </w:r>
          </w:p>
        </w:tc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Int</w:t>
            </w:r>
          </w:p>
        </w:tc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  <w:tc>
          <w:tcPr>
            <w:tcW w:w="19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employee_id</w:t>
            </w:r>
          </w:p>
        </w:tc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Int</w:t>
            </w:r>
          </w:p>
        </w:tc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  <w:tc>
          <w:tcPr>
            <w:tcW w:w="19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</w:tr>
    </w:tbl>
    <w:p>
      <w:pPr>
        <w:pStyle w:val="BodyText"/>
        <w:rPr/>
      </w:pPr>
      <w:r>
        <w:rPr>
          <w:rStyle w:val="VerbatimChar"/>
          <w:b/>
          <w:bCs/>
        </w:rPr>
        <w:t>vacation_requests</w:t>
      </w:r>
      <w:r>
        <w:rPr/>
        <w:t xml:space="preserve"> — Заявки на отпуск и их состояние</w:t>
      </w:r>
    </w:p>
    <w:tbl>
      <w:tblPr>
        <w:tblStyle w:val="Table"/>
        <w:tblW w:w="7920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1980"/>
        <w:gridCol w:w="1980"/>
        <w:gridCol w:w="1980"/>
        <w:gridCol w:w="1979"/>
      </w:tblGrid>
      <w:tr>
        <w:trPr>
          <w:tblHeader w:val="true"/>
        </w:trPr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Поле</w:t>
            </w:r>
          </w:p>
        </w:tc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Тип</w:t>
            </w:r>
          </w:p>
        </w:tc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Признаки</w:t>
            </w:r>
          </w:p>
        </w:tc>
        <w:tc>
          <w:tcPr>
            <w:tcW w:w="1979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Примечание</w:t>
            </w:r>
          </w:p>
        </w:tc>
      </w:tr>
      <w:tr>
        <w:trPr/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id</w:t>
            </w:r>
          </w:p>
        </w:tc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Int</w:t>
            </w:r>
          </w:p>
        </w:tc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PK</w:t>
            </w:r>
          </w:p>
        </w:tc>
        <w:tc>
          <w:tcPr>
            <w:tcW w:w="19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employee_id</w:t>
            </w:r>
          </w:p>
        </w:tc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Int</w:t>
            </w:r>
          </w:p>
        </w:tc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  <w:tc>
          <w:tcPr>
            <w:tcW w:w="19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start_date</w:t>
            </w:r>
          </w:p>
        </w:tc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DateTime</w:t>
            </w:r>
          </w:p>
        </w:tc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  <w:tc>
          <w:tcPr>
            <w:tcW w:w="19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end_date</w:t>
            </w:r>
          </w:p>
        </w:tc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DateTime</w:t>
            </w:r>
          </w:p>
        </w:tc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  <w:tc>
          <w:tcPr>
            <w:tcW w:w="19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type</w:t>
            </w:r>
          </w:p>
        </w:tc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RequestType</w:t>
            </w:r>
          </w:p>
        </w:tc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  <w:tc>
          <w:tcPr>
            <w:tcW w:w="19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status</w:t>
            </w:r>
          </w:p>
        </w:tc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RequestStatus</w:t>
            </w:r>
          </w:p>
        </w:tc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  <w:tc>
          <w:tcPr>
            <w:tcW w:w="19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pending_deletion</w:t>
            </w:r>
          </w:p>
        </w:tc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Boolean</w:t>
            </w:r>
          </w:p>
        </w:tc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  <w:tc>
          <w:tcPr>
            <w:tcW w:w="19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change_from_start</w:t>
            </w:r>
          </w:p>
        </w:tc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DateTime</w:t>
            </w:r>
          </w:p>
        </w:tc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null</w:t>
            </w:r>
          </w:p>
        </w:tc>
        <w:tc>
          <w:tcPr>
            <w:tcW w:w="19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change_from_end</w:t>
            </w:r>
          </w:p>
        </w:tc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DateTime</w:t>
            </w:r>
          </w:p>
        </w:tc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null</w:t>
            </w:r>
          </w:p>
        </w:tc>
        <w:tc>
          <w:tcPr>
            <w:tcW w:w="19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comment</w:t>
            </w:r>
          </w:p>
        </w:tc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String</w:t>
            </w:r>
          </w:p>
        </w:tc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null</w:t>
            </w:r>
          </w:p>
        </w:tc>
        <w:tc>
          <w:tcPr>
            <w:tcW w:w="19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rejection_comment</w:t>
            </w:r>
          </w:p>
        </w:tc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String</w:t>
            </w:r>
          </w:p>
        </w:tc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null</w:t>
            </w:r>
          </w:p>
        </w:tc>
        <w:tc>
          <w:tcPr>
            <w:tcW w:w="19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created_by</w:t>
            </w:r>
          </w:p>
        </w:tc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Int</w:t>
            </w:r>
          </w:p>
        </w:tc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  <w:tc>
          <w:tcPr>
            <w:tcW w:w="19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created_at</w:t>
            </w:r>
          </w:p>
        </w:tc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DateTime</w:t>
            </w:r>
          </w:p>
        </w:tc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  <w:tc>
          <w:tcPr>
            <w:tcW w:w="19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updated_at</w:t>
            </w:r>
          </w:p>
        </w:tc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DateTime</w:t>
            </w:r>
          </w:p>
        </w:tc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  <w:tc>
          <w:tcPr>
            <w:tcW w:w="19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pending_since</w:t>
            </w:r>
          </w:p>
        </w:tc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DateTime</w:t>
            </w:r>
          </w:p>
        </w:tc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null</w:t>
            </w:r>
          </w:p>
        </w:tc>
        <w:tc>
          <w:tcPr>
            <w:tcW w:w="19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escalated_to</w:t>
            </w:r>
          </w:p>
        </w:tc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Int</w:t>
            </w:r>
          </w:p>
        </w:tc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null</w:t>
            </w:r>
          </w:p>
        </w:tc>
        <w:tc>
          <w:tcPr>
            <w:tcW w:w="19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escalated_at</w:t>
            </w:r>
          </w:p>
        </w:tc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DateTime</w:t>
            </w:r>
          </w:p>
        </w:tc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null</w:t>
            </w:r>
          </w:p>
        </w:tc>
        <w:tc>
          <w:tcPr>
            <w:tcW w:w="19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</w:tr>
    </w:tbl>
    <w:p>
      <w:pPr>
        <w:pStyle w:val="BodyText"/>
        <w:rPr/>
      </w:pPr>
      <w:r>
        <w:rPr>
          <w:rStyle w:val="VerbatimChar"/>
          <w:b/>
          <w:bCs/>
        </w:rPr>
        <w:t>request_events</w:t>
      </w:r>
      <w:r>
        <w:rPr/>
        <w:t xml:space="preserve"> — История действий по заявке</w:t>
      </w:r>
    </w:p>
    <w:tbl>
      <w:tblPr>
        <w:tblStyle w:val="Table"/>
        <w:tblW w:w="7920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1980"/>
        <w:gridCol w:w="1980"/>
        <w:gridCol w:w="1980"/>
        <w:gridCol w:w="1979"/>
      </w:tblGrid>
      <w:tr>
        <w:trPr>
          <w:tblHeader w:val="true"/>
        </w:trPr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Поле</w:t>
            </w:r>
          </w:p>
        </w:tc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Тип</w:t>
            </w:r>
          </w:p>
        </w:tc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Признаки</w:t>
            </w:r>
          </w:p>
        </w:tc>
        <w:tc>
          <w:tcPr>
            <w:tcW w:w="1979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Примечание</w:t>
            </w:r>
          </w:p>
        </w:tc>
      </w:tr>
      <w:tr>
        <w:trPr/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id</w:t>
            </w:r>
          </w:p>
        </w:tc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Int</w:t>
            </w:r>
          </w:p>
        </w:tc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PK</w:t>
            </w:r>
          </w:p>
        </w:tc>
        <w:tc>
          <w:tcPr>
            <w:tcW w:w="19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request_id</w:t>
            </w:r>
          </w:p>
        </w:tc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Int</w:t>
            </w:r>
          </w:p>
        </w:tc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  <w:tc>
          <w:tcPr>
            <w:tcW w:w="19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ts</w:t>
            </w:r>
          </w:p>
        </w:tc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DateTime</w:t>
            </w:r>
          </w:p>
        </w:tc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  <w:tc>
          <w:tcPr>
            <w:tcW w:w="19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actor_id</w:t>
            </w:r>
          </w:p>
        </w:tc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Int</w:t>
            </w:r>
          </w:p>
        </w:tc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null</w:t>
            </w:r>
          </w:p>
        </w:tc>
        <w:tc>
          <w:tcPr>
            <w:tcW w:w="19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action</w:t>
            </w:r>
          </w:p>
        </w:tc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String</w:t>
            </w:r>
          </w:p>
        </w:tc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  <w:tc>
          <w:tcPr>
            <w:tcW w:w="19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comment</w:t>
            </w:r>
          </w:p>
        </w:tc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String</w:t>
            </w:r>
          </w:p>
        </w:tc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null</w:t>
            </w:r>
          </w:p>
        </w:tc>
        <w:tc>
          <w:tcPr>
            <w:tcW w:w="19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</w:tr>
    </w:tbl>
    <w:p>
      <w:pPr>
        <w:pStyle w:val="BodyText"/>
        <w:rPr/>
      </w:pPr>
      <w:r>
        <w:rPr>
          <w:rStyle w:val="VerbatimChar"/>
          <w:b/>
          <w:bCs/>
        </w:rPr>
        <w:t>work_patterns</w:t>
      </w:r>
      <w:r>
        <w:rPr/>
        <w:t xml:space="preserve"> — Недельный шаблон офис/удалёнка</w:t>
      </w:r>
    </w:p>
    <w:tbl>
      <w:tblPr>
        <w:tblStyle w:val="Table"/>
        <w:tblW w:w="7920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1980"/>
        <w:gridCol w:w="1980"/>
        <w:gridCol w:w="1980"/>
        <w:gridCol w:w="1979"/>
      </w:tblGrid>
      <w:tr>
        <w:trPr>
          <w:tblHeader w:val="true"/>
        </w:trPr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Поле</w:t>
            </w:r>
          </w:p>
        </w:tc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Тип</w:t>
            </w:r>
          </w:p>
        </w:tc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Признаки</w:t>
            </w:r>
          </w:p>
        </w:tc>
        <w:tc>
          <w:tcPr>
            <w:tcW w:w="1979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Примечание</w:t>
            </w:r>
          </w:p>
        </w:tc>
      </w:tr>
      <w:tr>
        <w:trPr/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employee_id</w:t>
            </w:r>
          </w:p>
        </w:tc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Int</w:t>
            </w:r>
          </w:p>
        </w:tc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  <w:tc>
          <w:tcPr>
            <w:tcW w:w="19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weekday</w:t>
            </w:r>
          </w:p>
        </w:tc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Int</w:t>
            </w:r>
          </w:p>
        </w:tc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  <w:tc>
          <w:tcPr>
            <w:tcW w:w="19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0 (вс) … 6 (сб)</w:t>
            </w:r>
          </w:p>
        </w:tc>
      </w:tr>
      <w:tr>
        <w:trPr/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mode</w:t>
            </w:r>
          </w:p>
        </w:tc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WorkMode</w:t>
            </w:r>
          </w:p>
        </w:tc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  <w:tc>
          <w:tcPr>
            <w:tcW w:w="19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</w:tr>
    </w:tbl>
    <w:p>
      <w:pPr>
        <w:pStyle w:val="BodyText"/>
        <w:rPr/>
      </w:pPr>
      <w:r>
        <w:rPr>
          <w:rStyle w:val="VerbatimChar"/>
          <w:b/>
          <w:bCs/>
        </w:rPr>
        <w:t>work_overrides</w:t>
      </w:r>
      <w:r>
        <w:rPr/>
        <w:t xml:space="preserve"> — Разовые исключения режима работы</w:t>
      </w:r>
    </w:p>
    <w:tbl>
      <w:tblPr>
        <w:tblStyle w:val="Table"/>
        <w:tblW w:w="7920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1980"/>
        <w:gridCol w:w="1980"/>
        <w:gridCol w:w="1980"/>
        <w:gridCol w:w="1979"/>
      </w:tblGrid>
      <w:tr>
        <w:trPr>
          <w:tblHeader w:val="true"/>
        </w:trPr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Поле</w:t>
            </w:r>
          </w:p>
        </w:tc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Тип</w:t>
            </w:r>
          </w:p>
        </w:tc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Признаки</w:t>
            </w:r>
          </w:p>
        </w:tc>
        <w:tc>
          <w:tcPr>
            <w:tcW w:w="1979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Примечание</w:t>
            </w:r>
          </w:p>
        </w:tc>
      </w:tr>
      <w:tr>
        <w:trPr/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employee_id</w:t>
            </w:r>
          </w:p>
        </w:tc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Int</w:t>
            </w:r>
          </w:p>
        </w:tc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  <w:tc>
          <w:tcPr>
            <w:tcW w:w="19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date</w:t>
            </w:r>
          </w:p>
        </w:tc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DateTime</w:t>
            </w:r>
          </w:p>
        </w:tc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  <w:tc>
          <w:tcPr>
            <w:tcW w:w="19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mode</w:t>
            </w:r>
          </w:p>
        </w:tc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WorkMode</w:t>
            </w:r>
          </w:p>
        </w:tc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  <w:tc>
          <w:tcPr>
            <w:tcW w:w="19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</w:tr>
    </w:tbl>
    <w:p>
      <w:pPr>
        <w:pStyle w:val="BodyText"/>
        <w:rPr/>
      </w:pPr>
      <w:r>
        <w:rPr>
          <w:rStyle w:val="VerbatimChar"/>
          <w:b/>
          <w:bCs/>
        </w:rPr>
        <w:t>org_settings</w:t>
      </w:r>
      <w:r>
        <w:rPr/>
        <w:t xml:space="preserve"> — Правила организации (одна строка)</w:t>
      </w:r>
    </w:p>
    <w:tbl>
      <w:tblPr>
        <w:tblStyle w:val="Table"/>
        <w:tblW w:w="5000" w:type="pct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339"/>
        <w:gridCol w:w="2340"/>
        <w:gridCol w:w="2340"/>
        <w:gridCol w:w="2340"/>
      </w:tblGrid>
      <w:tr>
        <w:trPr>
          <w:tblHeader w:val="true"/>
        </w:trPr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Поле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Тип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Признаки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Примечание</w:t>
            </w:r>
          </w:p>
        </w:tc>
      </w:tr>
      <w:tr>
        <w:trPr/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id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Int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PK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conflict_threshold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Int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timezone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String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limit_policy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String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hard | soft</w:t>
            </w:r>
          </w:p>
        </w:tc>
      </w:tr>
      <w:tr>
        <w:trPr/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default_planned_days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Int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password_min_length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Int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lockout_threshold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Int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неудачных попыток подряд; 0 — без блокировки</w:t>
            </w:r>
          </w:p>
        </w:tc>
      </w:tr>
      <w:tr>
        <w:trPr/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lockout_minutes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Int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login_retention_days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Int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escalation_days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Int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notice_days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Int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org_name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String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null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org_okpo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String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null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head_position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String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null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head_name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String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null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hr_head_position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String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null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hr_head_name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String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null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</w:tr>
    </w:tbl>
    <w:p>
      <w:pPr>
        <w:pStyle w:val="BodyText"/>
        <w:rPr/>
      </w:pPr>
      <w:r>
        <w:rPr>
          <w:rStyle w:val="VerbatimChar"/>
          <w:b/>
          <w:bCs/>
        </w:rPr>
        <w:t>calendars</w:t>
      </w:r>
      <w:r>
        <w:rPr/>
        <w:t xml:space="preserve"> — Производственный календарь по годам</w:t>
      </w:r>
    </w:p>
    <w:tbl>
      <w:tblPr>
        <w:tblStyle w:val="Table"/>
        <w:tblW w:w="7920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1980"/>
        <w:gridCol w:w="1980"/>
        <w:gridCol w:w="1980"/>
        <w:gridCol w:w="1979"/>
      </w:tblGrid>
      <w:tr>
        <w:trPr>
          <w:tblHeader w:val="true"/>
        </w:trPr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Поле</w:t>
            </w:r>
          </w:p>
        </w:tc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Тип</w:t>
            </w:r>
          </w:p>
        </w:tc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Признаки</w:t>
            </w:r>
          </w:p>
        </w:tc>
        <w:tc>
          <w:tcPr>
            <w:tcW w:w="1979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Примечание</w:t>
            </w:r>
          </w:p>
        </w:tc>
      </w:tr>
      <w:tr>
        <w:trPr/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year</w:t>
            </w:r>
          </w:p>
        </w:tc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Int</w:t>
            </w:r>
          </w:p>
        </w:tc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PK</w:t>
            </w:r>
          </w:p>
        </w:tc>
        <w:tc>
          <w:tcPr>
            <w:tcW w:w="19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holidays</w:t>
            </w:r>
          </w:p>
        </w:tc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Json</w:t>
            </w:r>
          </w:p>
        </w:tc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  <w:tc>
          <w:tcPr>
            <w:tcW w:w="19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[“2026-01-01”, …]</w:t>
            </w:r>
          </w:p>
        </w:tc>
      </w:tr>
      <w:tr>
        <w:trPr/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transfers</w:t>
            </w:r>
          </w:p>
        </w:tc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Json</w:t>
            </w:r>
          </w:p>
        </w:tc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  <w:tc>
          <w:tcPr>
            <w:tcW w:w="19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[{“from”:“2026-01-03”,“to”:“2026-01-09”}, …]</w:t>
            </w:r>
          </w:p>
        </w:tc>
      </w:tr>
    </w:tbl>
    <w:p>
      <w:pPr>
        <w:pStyle w:val="BodyText"/>
        <w:rPr/>
      </w:pPr>
      <w:r>
        <w:rPr>
          <w:rStyle w:val="VerbatimChar"/>
          <w:b/>
          <w:bCs/>
        </w:rPr>
        <w:t>notifications</w:t>
      </w:r>
      <w:r>
        <w:rPr/>
        <w:t xml:space="preserve"> — Уведомления пользователей</w:t>
      </w:r>
    </w:p>
    <w:tbl>
      <w:tblPr>
        <w:tblStyle w:val="Table"/>
        <w:tblW w:w="7920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1980"/>
        <w:gridCol w:w="1980"/>
        <w:gridCol w:w="1980"/>
        <w:gridCol w:w="1979"/>
      </w:tblGrid>
      <w:tr>
        <w:trPr>
          <w:tblHeader w:val="true"/>
        </w:trPr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Поле</w:t>
            </w:r>
          </w:p>
        </w:tc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Тип</w:t>
            </w:r>
          </w:p>
        </w:tc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Признаки</w:t>
            </w:r>
          </w:p>
        </w:tc>
        <w:tc>
          <w:tcPr>
            <w:tcW w:w="1979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Примечание</w:t>
            </w:r>
          </w:p>
        </w:tc>
      </w:tr>
      <w:tr>
        <w:trPr/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id</w:t>
            </w:r>
          </w:p>
        </w:tc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Int</w:t>
            </w:r>
          </w:p>
        </w:tc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PK</w:t>
            </w:r>
          </w:p>
        </w:tc>
        <w:tc>
          <w:tcPr>
            <w:tcW w:w="19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employee_id</w:t>
            </w:r>
          </w:p>
        </w:tc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Int</w:t>
            </w:r>
          </w:p>
        </w:tc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  <w:tc>
          <w:tcPr>
            <w:tcW w:w="19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kind</w:t>
            </w:r>
          </w:p>
        </w:tc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String</w:t>
            </w:r>
          </w:p>
        </w:tc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  <w:tc>
          <w:tcPr>
            <w:tcW w:w="19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text</w:t>
            </w:r>
          </w:p>
        </w:tc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String</w:t>
            </w:r>
          </w:p>
        </w:tc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  <w:tc>
          <w:tcPr>
            <w:tcW w:w="19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payload</w:t>
            </w:r>
          </w:p>
        </w:tc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Json</w:t>
            </w:r>
          </w:p>
        </w:tc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null</w:t>
            </w:r>
          </w:p>
        </w:tc>
        <w:tc>
          <w:tcPr>
            <w:tcW w:w="19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is_read</w:t>
            </w:r>
          </w:p>
        </w:tc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Boolean</w:t>
            </w:r>
          </w:p>
        </w:tc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  <w:tc>
          <w:tcPr>
            <w:tcW w:w="19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created_at</w:t>
            </w:r>
          </w:p>
        </w:tc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DateTime</w:t>
            </w:r>
          </w:p>
        </w:tc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  <w:tc>
          <w:tcPr>
            <w:tcW w:w="19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</w:tr>
    </w:tbl>
    <w:p>
      <w:pPr>
        <w:pStyle w:val="BodyText"/>
        <w:rPr/>
      </w:pPr>
      <w:r>
        <w:rPr>
          <w:rStyle w:val="VerbatimChar"/>
          <w:b/>
          <w:bCs/>
        </w:rPr>
        <w:t>audit_events</w:t>
      </w:r>
      <w:r>
        <w:rPr/>
        <w:t xml:space="preserve"> — Неизменяемый журнал изменений</w:t>
      </w:r>
    </w:p>
    <w:tbl>
      <w:tblPr>
        <w:tblStyle w:val="Table"/>
        <w:tblW w:w="7920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1980"/>
        <w:gridCol w:w="1980"/>
        <w:gridCol w:w="1980"/>
        <w:gridCol w:w="1979"/>
      </w:tblGrid>
      <w:tr>
        <w:trPr>
          <w:tblHeader w:val="true"/>
        </w:trPr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Поле</w:t>
            </w:r>
          </w:p>
        </w:tc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Тип</w:t>
            </w:r>
          </w:p>
        </w:tc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Признаки</w:t>
            </w:r>
          </w:p>
        </w:tc>
        <w:tc>
          <w:tcPr>
            <w:tcW w:w="1979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Примечание</w:t>
            </w:r>
          </w:p>
        </w:tc>
      </w:tr>
      <w:tr>
        <w:trPr/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id</w:t>
            </w:r>
          </w:p>
        </w:tc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Int</w:t>
            </w:r>
          </w:p>
        </w:tc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PK</w:t>
            </w:r>
          </w:p>
        </w:tc>
        <w:tc>
          <w:tcPr>
            <w:tcW w:w="19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ts</w:t>
            </w:r>
          </w:p>
        </w:tc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DateTime</w:t>
            </w:r>
          </w:p>
        </w:tc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  <w:tc>
          <w:tcPr>
            <w:tcW w:w="19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actor_id</w:t>
            </w:r>
          </w:p>
        </w:tc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Int</w:t>
            </w:r>
          </w:p>
        </w:tc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null</w:t>
            </w:r>
          </w:p>
        </w:tc>
        <w:tc>
          <w:tcPr>
            <w:tcW w:w="19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action</w:t>
            </w:r>
          </w:p>
        </w:tc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String</w:t>
            </w:r>
          </w:p>
        </w:tc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  <w:tc>
          <w:tcPr>
            <w:tcW w:w="19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entity</w:t>
            </w:r>
          </w:p>
        </w:tc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String</w:t>
            </w:r>
          </w:p>
        </w:tc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  <w:tc>
          <w:tcPr>
            <w:tcW w:w="19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entity_id</w:t>
            </w:r>
          </w:p>
        </w:tc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String</w:t>
            </w:r>
          </w:p>
        </w:tc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  <w:tc>
          <w:tcPr>
            <w:tcW w:w="19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before</w:t>
            </w:r>
          </w:p>
        </w:tc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Json</w:t>
            </w:r>
          </w:p>
        </w:tc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null</w:t>
            </w:r>
          </w:p>
        </w:tc>
        <w:tc>
          <w:tcPr>
            <w:tcW w:w="19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after</w:t>
            </w:r>
          </w:p>
        </w:tc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Json</w:t>
            </w:r>
          </w:p>
        </w:tc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null</w:t>
            </w:r>
          </w:p>
        </w:tc>
        <w:tc>
          <w:tcPr>
            <w:tcW w:w="19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</w:tr>
    </w:tbl>
    <w:p>
      <w:pPr>
        <w:pStyle w:val="BodyText"/>
        <w:rPr/>
      </w:pPr>
      <w:r>
        <w:rPr>
          <w:rStyle w:val="VerbatimChar"/>
          <w:b/>
          <w:bCs/>
        </w:rPr>
        <w:t>refresh_tokens</w:t>
      </w:r>
      <w:r>
        <w:rPr/>
        <w:t xml:space="preserve"> — Хеши refresh-токенов (ротация, отзыв); цепочка одного входа — сеанс</w:t>
      </w:r>
    </w:p>
    <w:tbl>
      <w:tblPr>
        <w:tblStyle w:val="Table"/>
        <w:tblW w:w="7920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1980"/>
        <w:gridCol w:w="1980"/>
        <w:gridCol w:w="1980"/>
        <w:gridCol w:w="1979"/>
      </w:tblGrid>
      <w:tr>
        <w:trPr>
          <w:tblHeader w:val="true"/>
        </w:trPr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Поле</w:t>
            </w:r>
          </w:p>
        </w:tc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Тип</w:t>
            </w:r>
          </w:p>
        </w:tc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Признаки</w:t>
            </w:r>
          </w:p>
        </w:tc>
        <w:tc>
          <w:tcPr>
            <w:tcW w:w="1979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Примечание</w:t>
            </w:r>
          </w:p>
        </w:tc>
      </w:tr>
      <w:tr>
        <w:trPr/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id</w:t>
            </w:r>
          </w:p>
        </w:tc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Int</w:t>
            </w:r>
          </w:p>
        </w:tc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PK</w:t>
            </w:r>
          </w:p>
        </w:tc>
        <w:tc>
          <w:tcPr>
            <w:tcW w:w="19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user_id</w:t>
            </w:r>
          </w:p>
        </w:tc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Int</w:t>
            </w:r>
          </w:p>
        </w:tc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  <w:tc>
          <w:tcPr>
            <w:tcW w:w="19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token_hash</w:t>
            </w:r>
          </w:p>
        </w:tc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String</w:t>
            </w:r>
          </w:p>
        </w:tc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UK</w:t>
            </w:r>
          </w:p>
        </w:tc>
        <w:tc>
          <w:tcPr>
            <w:tcW w:w="19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expires_at</w:t>
            </w:r>
          </w:p>
        </w:tc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DateTime</w:t>
            </w:r>
          </w:p>
        </w:tc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  <w:tc>
          <w:tcPr>
            <w:tcW w:w="19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revoked_at</w:t>
            </w:r>
          </w:p>
        </w:tc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DateTime</w:t>
            </w:r>
          </w:p>
        </w:tc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null</w:t>
            </w:r>
          </w:p>
        </w:tc>
        <w:tc>
          <w:tcPr>
            <w:tcW w:w="19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created_at</w:t>
            </w:r>
          </w:p>
        </w:tc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DateTime</w:t>
            </w:r>
          </w:p>
        </w:tc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  <w:tc>
          <w:tcPr>
            <w:tcW w:w="19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session_id</w:t>
            </w:r>
          </w:p>
        </w:tc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String</w:t>
            </w:r>
          </w:p>
        </w:tc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  <w:tc>
          <w:tcPr>
            <w:tcW w:w="19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session_started_at</w:t>
            </w:r>
          </w:p>
        </w:tc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DateTime</w:t>
            </w:r>
          </w:p>
        </w:tc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  <w:tc>
          <w:tcPr>
            <w:tcW w:w="19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method</w:t>
            </w:r>
          </w:p>
        </w:tc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String</w:t>
            </w:r>
          </w:p>
        </w:tc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  <w:tc>
          <w:tcPr>
            <w:tcW w:w="19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password | oidc</w:t>
            </w:r>
          </w:p>
        </w:tc>
      </w:tr>
      <w:tr>
        <w:trPr/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ip</w:t>
            </w:r>
          </w:p>
        </w:tc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String</w:t>
            </w:r>
          </w:p>
        </w:tc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null</w:t>
            </w:r>
          </w:p>
        </w:tc>
        <w:tc>
          <w:tcPr>
            <w:tcW w:w="19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user_agent</w:t>
            </w:r>
          </w:p>
        </w:tc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String</w:t>
            </w:r>
          </w:p>
        </w:tc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null</w:t>
            </w:r>
          </w:p>
        </w:tc>
        <w:tc>
          <w:tcPr>
            <w:tcW w:w="19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</w:tr>
    </w:tbl>
    <w:p>
      <w:pPr>
        <w:pStyle w:val="BodyText"/>
        <w:rPr/>
      </w:pPr>
      <w:r>
        <w:rPr>
          <w:rStyle w:val="VerbatimChar"/>
          <w:b/>
          <w:bCs/>
        </w:rPr>
        <w:t>login_state</w:t>
      </w:r>
      <w:r>
        <w:rPr/>
        <w:t xml:space="preserve"> — Состояние входа сотрудника: последний вход, неудачные попытки подряд, блокировка</w:t>
      </w:r>
    </w:p>
    <w:tbl>
      <w:tblPr>
        <w:tblStyle w:val="Table"/>
        <w:tblW w:w="7920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1980"/>
        <w:gridCol w:w="1980"/>
        <w:gridCol w:w="1980"/>
        <w:gridCol w:w="1979"/>
      </w:tblGrid>
      <w:tr>
        <w:trPr>
          <w:tblHeader w:val="true"/>
        </w:trPr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Поле</w:t>
            </w:r>
          </w:p>
        </w:tc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Тип</w:t>
            </w:r>
          </w:p>
        </w:tc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Признаки</w:t>
            </w:r>
          </w:p>
        </w:tc>
        <w:tc>
          <w:tcPr>
            <w:tcW w:w="1979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Примечание</w:t>
            </w:r>
          </w:p>
        </w:tc>
      </w:tr>
      <w:tr>
        <w:trPr/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employee_id</w:t>
            </w:r>
          </w:p>
        </w:tc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Int</w:t>
            </w:r>
          </w:p>
        </w:tc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PK</w:t>
            </w:r>
          </w:p>
        </w:tc>
        <w:tc>
          <w:tcPr>
            <w:tcW w:w="19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last_login_at</w:t>
            </w:r>
          </w:p>
        </w:tc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DateTime</w:t>
            </w:r>
          </w:p>
        </w:tc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null</w:t>
            </w:r>
          </w:p>
        </w:tc>
        <w:tc>
          <w:tcPr>
            <w:tcW w:w="19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failed_logins</w:t>
            </w:r>
          </w:p>
        </w:tc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Int</w:t>
            </w:r>
          </w:p>
        </w:tc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  <w:tc>
          <w:tcPr>
            <w:tcW w:w="19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locked_until</w:t>
            </w:r>
          </w:p>
        </w:tc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DateTime</w:t>
            </w:r>
          </w:p>
        </w:tc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null</w:t>
            </w:r>
          </w:p>
        </w:tc>
        <w:tc>
          <w:tcPr>
            <w:tcW w:w="19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</w:tr>
    </w:tbl>
    <w:p>
      <w:pPr>
        <w:pStyle w:val="BodyText"/>
        <w:rPr/>
      </w:pPr>
      <w:r>
        <w:rPr>
          <w:rStyle w:val="VerbatimChar"/>
          <w:b/>
          <w:bCs/>
        </w:rPr>
        <w:t>login_events</w:t>
      </w:r>
      <w:r>
        <w:rPr/>
        <w:t xml:space="preserve"> — Журнал входов: успешные и неуспешные попытки, блокировки; срок хранения — правило организации</w:t>
      </w:r>
    </w:p>
    <w:tbl>
      <w:tblPr>
        <w:tblStyle w:val="Table"/>
        <w:tblW w:w="7920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1980"/>
        <w:gridCol w:w="1980"/>
        <w:gridCol w:w="1980"/>
        <w:gridCol w:w="1979"/>
      </w:tblGrid>
      <w:tr>
        <w:trPr>
          <w:tblHeader w:val="true"/>
        </w:trPr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Поле</w:t>
            </w:r>
          </w:p>
        </w:tc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Тип</w:t>
            </w:r>
          </w:p>
        </w:tc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Признаки</w:t>
            </w:r>
          </w:p>
        </w:tc>
        <w:tc>
          <w:tcPr>
            <w:tcW w:w="1979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Примечание</w:t>
            </w:r>
          </w:p>
        </w:tc>
      </w:tr>
      <w:tr>
        <w:trPr/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ts</w:t>
            </w:r>
          </w:p>
        </w:tc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DateTime</w:t>
            </w:r>
          </w:p>
        </w:tc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  <w:tc>
          <w:tcPr>
            <w:tcW w:w="19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employee_id</w:t>
            </w:r>
          </w:p>
        </w:tc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Int</w:t>
            </w:r>
          </w:p>
        </w:tc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null</w:t>
            </w:r>
          </w:p>
        </w:tc>
        <w:tc>
          <w:tcPr>
            <w:tcW w:w="19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login</w:t>
            </w:r>
          </w:p>
        </w:tc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String</w:t>
            </w:r>
          </w:p>
        </w:tc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  <w:tc>
          <w:tcPr>
            <w:tcW w:w="19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result</w:t>
            </w:r>
          </w:p>
        </w:tc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String</w:t>
            </w:r>
          </w:p>
        </w:tc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  <w:tc>
          <w:tcPr>
            <w:tcW w:w="19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method</w:t>
            </w:r>
          </w:p>
        </w:tc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String</w:t>
            </w:r>
          </w:p>
        </w:tc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  <w:tc>
          <w:tcPr>
            <w:tcW w:w="19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ip</w:t>
            </w:r>
          </w:p>
        </w:tc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String</w:t>
            </w:r>
          </w:p>
        </w:tc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null</w:t>
            </w:r>
          </w:p>
        </w:tc>
        <w:tc>
          <w:tcPr>
            <w:tcW w:w="19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user_agent</w:t>
            </w:r>
          </w:p>
        </w:tc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String</w:t>
            </w:r>
          </w:p>
        </w:tc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null</w:t>
            </w:r>
          </w:p>
        </w:tc>
        <w:tc>
          <w:tcPr>
            <w:tcW w:w="19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</w:tr>
    </w:tbl>
    <w:p>
      <w:pPr>
        <w:pStyle w:val="BodyText"/>
        <w:rPr/>
      </w:pPr>
      <w:r>
        <w:rPr>
          <w:rStyle w:val="VerbatimChar"/>
          <w:b/>
          <w:bCs/>
        </w:rPr>
        <w:t>email_outbox</w:t>
      </w:r>
      <w:r>
        <w:rPr/>
        <w:t xml:space="preserve"> — Очередь писем (outbox): пишется в транзакции события, отправляется фоном с повторами</w:t>
      </w:r>
    </w:p>
    <w:tbl>
      <w:tblPr>
        <w:tblStyle w:val="Table"/>
        <w:tblW w:w="7920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1980"/>
        <w:gridCol w:w="1980"/>
        <w:gridCol w:w="1980"/>
        <w:gridCol w:w="1979"/>
      </w:tblGrid>
      <w:tr>
        <w:trPr>
          <w:tblHeader w:val="true"/>
        </w:trPr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Поле</w:t>
            </w:r>
          </w:p>
        </w:tc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Тип</w:t>
            </w:r>
          </w:p>
        </w:tc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Признаки</w:t>
            </w:r>
          </w:p>
        </w:tc>
        <w:tc>
          <w:tcPr>
            <w:tcW w:w="1979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Примечание</w:t>
            </w:r>
          </w:p>
        </w:tc>
      </w:tr>
      <w:tr>
        <w:trPr/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id</w:t>
            </w:r>
          </w:p>
        </w:tc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Int</w:t>
            </w:r>
          </w:p>
        </w:tc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PK</w:t>
            </w:r>
          </w:p>
        </w:tc>
        <w:tc>
          <w:tcPr>
            <w:tcW w:w="19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employee_id</w:t>
            </w:r>
          </w:p>
        </w:tc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Int</w:t>
            </w:r>
          </w:p>
        </w:tc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null</w:t>
            </w:r>
          </w:p>
        </w:tc>
        <w:tc>
          <w:tcPr>
            <w:tcW w:w="19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to_address</w:t>
            </w:r>
          </w:p>
        </w:tc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String</w:t>
            </w:r>
          </w:p>
        </w:tc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  <w:tc>
          <w:tcPr>
            <w:tcW w:w="19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kind</w:t>
            </w:r>
          </w:p>
        </w:tc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String</w:t>
            </w:r>
          </w:p>
        </w:tc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  <w:tc>
          <w:tcPr>
            <w:tcW w:w="19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subject</w:t>
            </w:r>
          </w:p>
        </w:tc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String</w:t>
            </w:r>
          </w:p>
        </w:tc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  <w:tc>
          <w:tcPr>
            <w:tcW w:w="19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body</w:t>
            </w:r>
          </w:p>
        </w:tc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String</w:t>
            </w:r>
          </w:p>
        </w:tc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  <w:tc>
          <w:tcPr>
            <w:tcW w:w="19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status</w:t>
            </w:r>
          </w:p>
        </w:tc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String</w:t>
            </w:r>
          </w:p>
        </w:tc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  <w:tc>
          <w:tcPr>
            <w:tcW w:w="19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pending | sent | failed</w:t>
            </w:r>
          </w:p>
        </w:tc>
      </w:tr>
      <w:tr>
        <w:trPr/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attempts</w:t>
            </w:r>
          </w:p>
        </w:tc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Int</w:t>
            </w:r>
          </w:p>
        </w:tc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  <w:tc>
          <w:tcPr>
            <w:tcW w:w="19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next_attempt_at</w:t>
            </w:r>
          </w:p>
        </w:tc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DateTime</w:t>
            </w:r>
          </w:p>
        </w:tc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  <w:tc>
          <w:tcPr>
            <w:tcW w:w="19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last_error</w:t>
            </w:r>
          </w:p>
        </w:tc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String</w:t>
            </w:r>
          </w:p>
        </w:tc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null</w:t>
            </w:r>
          </w:p>
        </w:tc>
        <w:tc>
          <w:tcPr>
            <w:tcW w:w="19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created_at</w:t>
            </w:r>
          </w:p>
        </w:tc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DateTime</w:t>
            </w:r>
          </w:p>
        </w:tc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  <w:tc>
          <w:tcPr>
            <w:tcW w:w="19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sent_at</w:t>
            </w:r>
          </w:p>
        </w:tc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DateTime</w:t>
            </w:r>
          </w:p>
        </w:tc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null</w:t>
            </w:r>
          </w:p>
        </w:tc>
        <w:tc>
          <w:tcPr>
            <w:tcW w:w="19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</w:tr>
    </w:tbl>
    <w:p>
      <w:pPr>
        <w:pStyle w:val="BodyText"/>
        <w:rPr/>
      </w:pPr>
      <w:r>
        <w:rPr>
          <w:rStyle w:val="VerbatimChar"/>
          <w:b/>
          <w:bCs/>
        </w:rPr>
        <w:t>job_runs</w:t>
      </w:r>
      <w:r>
        <w:rPr/>
        <w:t xml:space="preserve"> — Отметки плановых задач: строка (задача, период) — задача за период уже выполнена</w:t>
      </w:r>
    </w:p>
    <w:tbl>
      <w:tblPr>
        <w:tblStyle w:val="Table"/>
        <w:tblW w:w="7920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1980"/>
        <w:gridCol w:w="1980"/>
        <w:gridCol w:w="1980"/>
        <w:gridCol w:w="1979"/>
      </w:tblGrid>
      <w:tr>
        <w:trPr>
          <w:tblHeader w:val="true"/>
        </w:trPr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Поле</w:t>
            </w:r>
          </w:p>
        </w:tc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Тип</w:t>
            </w:r>
          </w:p>
        </w:tc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Признаки</w:t>
            </w:r>
          </w:p>
        </w:tc>
        <w:tc>
          <w:tcPr>
            <w:tcW w:w="1979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Примечание</w:t>
            </w:r>
          </w:p>
        </w:tc>
      </w:tr>
      <w:tr>
        <w:trPr/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name</w:t>
            </w:r>
          </w:p>
        </w:tc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String</w:t>
            </w:r>
          </w:p>
        </w:tc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  <w:tc>
          <w:tcPr>
            <w:tcW w:w="19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period</w:t>
            </w:r>
          </w:p>
        </w:tc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String</w:t>
            </w:r>
          </w:p>
        </w:tc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  <w:tc>
          <w:tcPr>
            <w:tcW w:w="19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ran_at</w:t>
            </w:r>
          </w:p>
        </w:tc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DateTime</w:t>
            </w:r>
          </w:p>
        </w:tc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  <w:tc>
          <w:tcPr>
            <w:tcW w:w="19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</w:tr>
    </w:tbl>
    <w:p>
      <w:pPr>
        <w:pStyle w:val="BodyText"/>
        <w:rPr/>
      </w:pPr>
      <w:r>
        <w:rPr>
          <w:rStyle w:val="VerbatimChar"/>
          <w:b/>
          <w:bCs/>
        </w:rPr>
        <w:t>data_version</w:t>
      </w:r>
      <w:r>
        <w:rPr/>
        <w:t xml:space="preserve"> — Версия данных графика: 16 строк-счётчиков, увеличиваются триггерами; версия — сумма</w:t>
      </w:r>
    </w:p>
    <w:tbl>
      <w:tblPr>
        <w:tblStyle w:val="Table"/>
        <w:tblW w:w="7920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1980"/>
        <w:gridCol w:w="1980"/>
        <w:gridCol w:w="1980"/>
        <w:gridCol w:w="1979"/>
      </w:tblGrid>
      <w:tr>
        <w:trPr>
          <w:tblHeader w:val="true"/>
        </w:trPr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Поле</w:t>
            </w:r>
          </w:p>
        </w:tc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Тип</w:t>
            </w:r>
          </w:p>
        </w:tc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Признаки</w:t>
            </w:r>
          </w:p>
        </w:tc>
        <w:tc>
          <w:tcPr>
            <w:tcW w:w="1979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Примечание</w:t>
            </w:r>
          </w:p>
        </w:tc>
      </w:tr>
      <w:tr>
        <w:trPr/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shard</w:t>
            </w:r>
          </w:p>
        </w:tc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Int</w:t>
            </w:r>
          </w:p>
        </w:tc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PK</w:t>
            </w:r>
          </w:p>
        </w:tc>
        <w:tc>
          <w:tcPr>
            <w:tcW w:w="19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</w:tr>
    </w:tbl>
    <w:p>
      <w:pPr>
        <w:pStyle w:val="BodyText"/>
        <w:rPr/>
      </w:pPr>
      <w:r>
        <w:rPr>
          <w:rStyle w:val="VerbatimChar"/>
          <w:b/>
          <w:bCs/>
        </w:rPr>
        <w:t>login_attempts</w:t>
      </w:r>
      <w:r>
        <w:rPr/>
        <w:t xml:space="preserve"> — Окна лимита входа по минутам (нежурналируемая таблица, общая для всех процессов)</w:t>
      </w:r>
    </w:p>
    <w:tbl>
      <w:tblPr>
        <w:tblStyle w:val="Table"/>
        <w:tblW w:w="7920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1980"/>
        <w:gridCol w:w="1980"/>
        <w:gridCol w:w="1980"/>
        <w:gridCol w:w="1979"/>
      </w:tblGrid>
      <w:tr>
        <w:trPr>
          <w:tblHeader w:val="true"/>
        </w:trPr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Поле</w:t>
            </w:r>
          </w:p>
        </w:tc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Тип</w:t>
            </w:r>
          </w:p>
        </w:tc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Признаки</w:t>
            </w:r>
          </w:p>
        </w:tc>
        <w:tc>
          <w:tcPr>
            <w:tcW w:w="1979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Примечание</w:t>
            </w:r>
          </w:p>
        </w:tc>
      </w:tr>
      <w:tr>
        <w:trPr/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key</w:t>
            </w:r>
          </w:p>
        </w:tc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String</w:t>
            </w:r>
          </w:p>
        </w:tc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  <w:tc>
          <w:tcPr>
            <w:tcW w:w="19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window_start</w:t>
            </w:r>
          </w:p>
        </w:tc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DateTime</w:t>
            </w:r>
          </w:p>
        </w:tc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  <w:tc>
          <w:tcPr>
            <w:tcW w:w="19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hits</w:t>
            </w:r>
          </w:p>
        </w:tc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Int</w:t>
            </w:r>
          </w:p>
        </w:tc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  <w:tc>
          <w:tcPr>
            <w:tcW w:w="19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</w:tr>
    </w:tbl>
    <w:p>
      <w:pPr>
        <w:pStyle w:val="BodyText"/>
        <w:rPr/>
      </w:pPr>
      <w:r>
        <w:rPr>
          <w:rStyle w:val="VerbatimChar"/>
          <w:b/>
          <w:bCs/>
        </w:rPr>
        <w:t>approval_delegations</w:t>
      </w:r>
      <w:r>
        <w:rPr/>
        <w:t xml:space="preserve"> — Замещение руководителя: заместитель согласует заявки его команды на период</w:t>
      </w:r>
    </w:p>
    <w:tbl>
      <w:tblPr>
        <w:tblStyle w:val="Table"/>
        <w:tblW w:w="7920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1980"/>
        <w:gridCol w:w="1980"/>
        <w:gridCol w:w="1980"/>
        <w:gridCol w:w="1979"/>
      </w:tblGrid>
      <w:tr>
        <w:trPr>
          <w:tblHeader w:val="true"/>
        </w:trPr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Поле</w:t>
            </w:r>
          </w:p>
        </w:tc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Тип</w:t>
            </w:r>
          </w:p>
        </w:tc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Признаки</w:t>
            </w:r>
          </w:p>
        </w:tc>
        <w:tc>
          <w:tcPr>
            <w:tcW w:w="1979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Примечание</w:t>
            </w:r>
          </w:p>
        </w:tc>
      </w:tr>
      <w:tr>
        <w:trPr/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id</w:t>
            </w:r>
          </w:p>
        </w:tc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Int</w:t>
            </w:r>
          </w:p>
        </w:tc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PK</w:t>
            </w:r>
          </w:p>
        </w:tc>
        <w:tc>
          <w:tcPr>
            <w:tcW w:w="19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manager_id</w:t>
            </w:r>
          </w:p>
        </w:tc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Int</w:t>
            </w:r>
          </w:p>
        </w:tc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  <w:tc>
          <w:tcPr>
            <w:tcW w:w="19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deputy_id</w:t>
            </w:r>
          </w:p>
        </w:tc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Int</w:t>
            </w:r>
          </w:p>
        </w:tc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  <w:tc>
          <w:tcPr>
            <w:tcW w:w="19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start_date</w:t>
            </w:r>
          </w:p>
        </w:tc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DateTime</w:t>
            </w:r>
          </w:p>
        </w:tc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  <w:tc>
          <w:tcPr>
            <w:tcW w:w="19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end_date</w:t>
            </w:r>
          </w:p>
        </w:tc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DateTime</w:t>
            </w:r>
          </w:p>
        </w:tc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  <w:tc>
          <w:tcPr>
            <w:tcW w:w="19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created_by</w:t>
            </w:r>
          </w:p>
        </w:tc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Int</w:t>
            </w:r>
          </w:p>
        </w:tc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null</w:t>
            </w:r>
          </w:p>
        </w:tc>
        <w:tc>
          <w:tcPr>
            <w:tcW w:w="19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created_at</w:t>
            </w:r>
          </w:p>
        </w:tc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DateTime</w:t>
            </w:r>
          </w:p>
        </w:tc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  <w:tc>
          <w:tcPr>
            <w:tcW w:w="19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revoked_at</w:t>
            </w:r>
          </w:p>
        </w:tc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DateTime</w:t>
            </w:r>
          </w:p>
        </w:tc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null</w:t>
            </w:r>
          </w:p>
        </w:tc>
        <w:tc>
          <w:tcPr>
            <w:tcW w:w="19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</w:tr>
    </w:tbl>
    <w:p>
      <w:pPr>
        <w:pStyle w:val="BodyText"/>
        <w:rPr/>
      </w:pPr>
      <w:r>
        <w:rPr>
          <w:rStyle w:val="VerbatimChar"/>
          <w:b/>
          <w:bCs/>
        </w:rPr>
        <w:t>vacation_notices</w:t>
      </w:r>
      <w:r>
        <w:rPr/>
        <w:t xml:space="preserve"> — Извещения о начале отпуска под подпись (ст. 123 ТК РФ): отправка, ознакомление, отзыв</w:t>
      </w:r>
    </w:p>
    <w:tbl>
      <w:tblPr>
        <w:tblStyle w:val="Table"/>
        <w:tblW w:w="7920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1980"/>
        <w:gridCol w:w="1980"/>
        <w:gridCol w:w="1980"/>
        <w:gridCol w:w="1979"/>
      </w:tblGrid>
      <w:tr>
        <w:trPr>
          <w:tblHeader w:val="true"/>
        </w:trPr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Поле</w:t>
            </w:r>
          </w:p>
        </w:tc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Тип</w:t>
            </w:r>
          </w:p>
        </w:tc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Признаки</w:t>
            </w:r>
          </w:p>
        </w:tc>
        <w:tc>
          <w:tcPr>
            <w:tcW w:w="1979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Примечание</w:t>
            </w:r>
          </w:p>
        </w:tc>
      </w:tr>
      <w:tr>
        <w:trPr/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id</w:t>
            </w:r>
          </w:p>
        </w:tc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Int</w:t>
            </w:r>
          </w:p>
        </w:tc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PK</w:t>
            </w:r>
          </w:p>
        </w:tc>
        <w:tc>
          <w:tcPr>
            <w:tcW w:w="19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request_id</w:t>
            </w:r>
          </w:p>
        </w:tc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Int</w:t>
            </w:r>
          </w:p>
        </w:tc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  <w:tc>
          <w:tcPr>
            <w:tcW w:w="19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employee_id</w:t>
            </w:r>
          </w:p>
        </w:tc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Int</w:t>
            </w:r>
          </w:p>
        </w:tc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  <w:tc>
          <w:tcPr>
            <w:tcW w:w="19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start_date</w:t>
            </w:r>
          </w:p>
        </w:tc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DateTime</w:t>
            </w:r>
          </w:p>
        </w:tc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  <w:tc>
          <w:tcPr>
            <w:tcW w:w="19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end_date</w:t>
            </w:r>
          </w:p>
        </w:tc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DateTime</w:t>
            </w:r>
          </w:p>
        </w:tc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  <w:tc>
          <w:tcPr>
            <w:tcW w:w="19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days</w:t>
            </w:r>
          </w:p>
        </w:tc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Float</w:t>
            </w:r>
          </w:p>
        </w:tc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  <w:tc>
          <w:tcPr>
            <w:tcW w:w="19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дни отпуска без праздников (ст. 120)</w:t>
            </w:r>
          </w:p>
        </w:tc>
      </w:tr>
      <w:tr>
        <w:trPr/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sent_at</w:t>
            </w:r>
          </w:p>
        </w:tc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DateTime</w:t>
            </w:r>
          </w:p>
        </w:tc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  <w:tc>
          <w:tcPr>
            <w:tcW w:w="19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late</w:t>
            </w:r>
          </w:p>
        </w:tc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Boolean</w:t>
            </w:r>
          </w:p>
        </w:tc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  <w:tc>
          <w:tcPr>
            <w:tcW w:w="19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позже чем за 14 дней: отпуск согласован поздно</w:t>
            </w:r>
          </w:p>
        </w:tc>
      </w:tr>
      <w:tr>
        <w:trPr/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acknowledged_at</w:t>
            </w:r>
          </w:p>
        </w:tc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DateTime</w:t>
            </w:r>
          </w:p>
        </w:tc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null</w:t>
            </w:r>
          </w:p>
        </w:tc>
        <w:tc>
          <w:tcPr>
            <w:tcW w:w="19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withdrawn_at</w:t>
            </w:r>
          </w:p>
        </w:tc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DateTime</w:t>
            </w:r>
          </w:p>
        </w:tc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null</w:t>
            </w:r>
          </w:p>
        </w:tc>
        <w:tc>
          <w:tcPr>
            <w:tcW w:w="19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отпуск отменён или перенесён</w:t>
            </w:r>
          </w:p>
        </w:tc>
      </w:tr>
    </w:tbl>
    <w:p>
      <w:pPr>
        <w:pStyle w:val="BodyText"/>
        <w:rPr/>
      </w:pPr>
      <w:r>
        <w:rPr>
          <w:rStyle w:val="VerbatimChar"/>
          <w:b/>
          <w:bCs/>
        </w:rPr>
        <w:t>planning_campaigns</w:t>
      </w:r>
      <w:r>
        <w:rPr/>
        <w:t xml:space="preserve"> — Кампания планирования отпусков на год: срок, открытие и закрытие, напоминания</w:t>
      </w:r>
    </w:p>
    <w:tbl>
      <w:tblPr>
        <w:tblStyle w:val="Table"/>
        <w:tblW w:w="7920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1980"/>
        <w:gridCol w:w="1980"/>
        <w:gridCol w:w="1980"/>
        <w:gridCol w:w="1979"/>
      </w:tblGrid>
      <w:tr>
        <w:trPr>
          <w:tblHeader w:val="true"/>
        </w:trPr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Поле</w:t>
            </w:r>
          </w:p>
        </w:tc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Тип</w:t>
            </w:r>
          </w:p>
        </w:tc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Признаки</w:t>
            </w:r>
          </w:p>
        </w:tc>
        <w:tc>
          <w:tcPr>
            <w:tcW w:w="1979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Примечание</w:t>
            </w:r>
          </w:p>
        </w:tc>
      </w:tr>
      <w:tr>
        <w:trPr/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year</w:t>
            </w:r>
          </w:p>
        </w:tc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Int</w:t>
            </w:r>
          </w:p>
        </w:tc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PK</w:t>
            </w:r>
          </w:p>
        </w:tc>
        <w:tc>
          <w:tcPr>
            <w:tcW w:w="19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deadline</w:t>
            </w:r>
          </w:p>
        </w:tc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DateTime</w:t>
            </w:r>
          </w:p>
        </w:tc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  <w:tc>
          <w:tcPr>
            <w:tcW w:w="19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opened_at</w:t>
            </w:r>
          </w:p>
        </w:tc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DateTime</w:t>
            </w:r>
          </w:p>
        </w:tc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  <w:tc>
          <w:tcPr>
            <w:tcW w:w="19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opened_by</w:t>
            </w:r>
          </w:p>
        </w:tc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Int</w:t>
            </w:r>
          </w:p>
        </w:tc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null</w:t>
            </w:r>
          </w:p>
        </w:tc>
        <w:tc>
          <w:tcPr>
            <w:tcW w:w="19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closed_at</w:t>
            </w:r>
          </w:p>
        </w:tc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DateTime</w:t>
            </w:r>
          </w:p>
        </w:tc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null</w:t>
            </w:r>
          </w:p>
        </w:tc>
        <w:tc>
          <w:tcPr>
            <w:tcW w:w="19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closed_by</w:t>
            </w:r>
          </w:p>
        </w:tc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Int</w:t>
            </w:r>
          </w:p>
        </w:tc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null</w:t>
            </w:r>
          </w:p>
        </w:tc>
        <w:tc>
          <w:tcPr>
            <w:tcW w:w="19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reminded_at</w:t>
            </w:r>
          </w:p>
        </w:tc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DateTime</w:t>
            </w:r>
          </w:p>
        </w:tc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null</w:t>
            </w:r>
          </w:p>
        </w:tc>
        <w:tc>
          <w:tcPr>
            <w:tcW w:w="19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auto_reminded</w:t>
            </w:r>
          </w:p>
        </w:tc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Boolean</w:t>
            </w:r>
          </w:p>
        </w:tc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  <w:tc>
          <w:tcPr>
            <w:tcW w:w="19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</w:tr>
    </w:tbl>
    <w:p>
      <w:pPr>
        <w:pStyle w:val="BodyText"/>
        <w:rPr/>
      </w:pPr>
      <w:r>
        <w:rPr>
          <w:rStyle w:val="VerbatimChar"/>
          <w:b/>
          <w:bCs/>
        </w:rPr>
        <w:t>schedule_approvals</w:t>
      </w:r>
      <w:r>
        <w:rPr/>
        <w:t xml:space="preserve"> — Утверждённый график отпусков: реквизиты документа, мнение профсоюза, снимок строк для формы Т-7</w:t>
      </w:r>
    </w:p>
    <w:tbl>
      <w:tblPr>
        <w:tblStyle w:val="Table"/>
        <w:tblW w:w="7920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1980"/>
        <w:gridCol w:w="1980"/>
        <w:gridCol w:w="1980"/>
        <w:gridCol w:w="1979"/>
      </w:tblGrid>
      <w:tr>
        <w:trPr>
          <w:tblHeader w:val="true"/>
        </w:trPr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Поле</w:t>
            </w:r>
          </w:p>
        </w:tc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Тип</w:t>
            </w:r>
          </w:p>
        </w:tc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Признаки</w:t>
            </w:r>
          </w:p>
        </w:tc>
        <w:tc>
          <w:tcPr>
            <w:tcW w:w="1979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Примечание</w:t>
            </w:r>
          </w:p>
        </w:tc>
      </w:tr>
      <w:tr>
        <w:trPr/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year</w:t>
            </w:r>
          </w:p>
        </w:tc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Int</w:t>
            </w:r>
          </w:p>
        </w:tc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PK</w:t>
            </w:r>
          </w:p>
        </w:tc>
        <w:tc>
          <w:tcPr>
            <w:tcW w:w="19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doc_number</w:t>
            </w:r>
          </w:p>
        </w:tc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String</w:t>
            </w:r>
          </w:p>
        </w:tc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  <w:tc>
          <w:tcPr>
            <w:tcW w:w="19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doc_date</w:t>
            </w:r>
          </w:p>
        </w:tc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DateTime</w:t>
            </w:r>
          </w:p>
        </w:tc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  <w:tc>
          <w:tcPr>
            <w:tcW w:w="19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union_opinion_date</w:t>
            </w:r>
          </w:p>
        </w:tc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DateTime</w:t>
            </w:r>
          </w:p>
        </w:tc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null</w:t>
            </w:r>
          </w:p>
        </w:tc>
        <w:tc>
          <w:tcPr>
            <w:tcW w:w="19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union_opinion_number</w:t>
            </w:r>
          </w:p>
        </w:tc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String</w:t>
            </w:r>
          </w:p>
        </w:tc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null</w:t>
            </w:r>
          </w:p>
        </w:tc>
        <w:tc>
          <w:tcPr>
            <w:tcW w:w="19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approved_at</w:t>
            </w:r>
          </w:p>
        </w:tc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DateTime</w:t>
            </w:r>
          </w:p>
        </w:tc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  <w:tc>
          <w:tcPr>
            <w:tcW w:w="19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approved_by</w:t>
            </w:r>
          </w:p>
        </w:tc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Int</w:t>
            </w:r>
          </w:p>
        </w:tc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null</w:t>
            </w:r>
          </w:p>
        </w:tc>
        <w:tc>
          <w:tcPr>
            <w:tcW w:w="19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rows</w:t>
            </w:r>
          </w:p>
        </w:tc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Json</w:t>
            </w:r>
          </w:p>
        </w:tc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  <w:tc>
          <w:tcPr>
            <w:tcW w:w="19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  <w:bookmarkStart w:id="85" w:name="приложение-а.-словарь-данных"/>
            <w:bookmarkStart w:id="86" w:name="приложение-а.-словарь-данных"/>
            <w:bookmarkEnd w:id="86"/>
          </w:p>
        </w:tc>
      </w:tr>
    </w:tbl>
    <w:sectPr>
      <w:footerReference w:type="even" r:id="rId18"/>
      <w:footerReference w:type="default" r:id="rId19"/>
      <w:footerReference w:type="first" r:id="rId20"/>
      <w:type w:val="nextPage"/>
      <w:pgSz w:w="12240" w:h="15840"/>
      <w:pgMar w:left="1440" w:right="1440" w:gutter="0" w:header="0" w:top="1440" w:footer="72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Arial">
    <w:charset w:val="01"/>
    <w:family w:val="roman"/>
    <w:pitch w:val="variable"/>
  </w:font>
  <w:font w:name="Calibri">
    <w:charset w:val="01"/>
    <w:family w:val="roman"/>
    <w:pitch w:val="variable"/>
  </w:font>
  <w:font w:name="Consolas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pacing w:before="0" w:after="100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pacing w:before="0" w:after="100"/>
      <w:rPr/>
    </w:pPr>
    <w:r>
      <w:rPr>
        <w:color w:val="8A92A6"/>
        <w:sz w:val="16"/>
      </w:rPr>
      <w:t xml:space="preserve">Планировщик отпусков 1.0.0 · Описание архитектуры · стр.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62</w:t>
    </w:r>
    <w:r>
      <w:rPr/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pacing w:before="0" w:after="100"/>
      <w:rPr/>
    </w:pPr>
    <w:r>
      <w:rPr>
        <w:color w:val="8A92A6"/>
        <w:sz w:val="16"/>
      </w:rPr>
      <w:t xml:space="preserve">Планировщик отпусков 1.0.0 · Описание архитектуры · стр.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62</w:t>
    </w:r>
    <w:r>
      <w:rPr/>
      <w:fldChar w:fldCharType="end"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2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3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4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1"/>
    <w:lvlOverride w:ilvl="0">
      <w:startOverride w:val="1"/>
    </w:lvlOverride>
  </w:num>
  <w:num w:numId="6">
    <w:abstractNumId w:val="2"/>
  </w:num>
  <w:num w:numId="7">
    <w:abstractNumId w:val="2"/>
  </w:num>
  <w:num w:numId="8">
    <w:abstractNumId w:val="2"/>
  </w:num>
  <w:num w:numId="9">
    <w:abstractNumId w:val="2"/>
  </w:num>
  <w:num w:numId="10">
    <w:abstractNumId w:val="2"/>
  </w:num>
</w:numbering>
</file>

<file path=word/settings.xml><?xml version="1.0" encoding="utf-8"?>
<w:settings xmlns:w="http://schemas.openxmlformats.org/wordprocessingml/2006/main">
  <w:zoom w:percent="100"/>
  <w:embedSystemFonts/>
  <w:defaultTabStop w:val="720"/>
  <w:autoHyphenation w:val="true"/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Cambria" w:cs="" w:asciiTheme="minorHAnsi" w:cstheme="minorBidi" w:eastAsiaTheme="minorHAnsi" w:hAnsiTheme="minorHAnsi"/>
        <w:sz w:val="24"/>
        <w:szCs w:val="24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276"/>
  <w:style w:type="paragraph" w:styleId="Normal" w:default="1">
    <w:name w:val="Normal"/>
    <w:qFormat/>
    <w:pPr>
      <w:widowControl/>
      <w:bidi w:val="0"/>
      <w:spacing w:lineRule="auto" w:line="276" w:before="0" w:after="100"/>
      <w:jc w:val="left"/>
    </w:pPr>
    <w:rPr>
      <w:rFonts w:ascii="Arial" w:hAnsi="Arial" w:eastAsia="Arial" w:cs="Arial"/>
      <w:color w:val="1D2433"/>
      <w:kern w:val="0"/>
      <w:sz w:val="21"/>
      <w:szCs w:val="24"/>
      <w:lang w:val="en-US" w:eastAsia="en-US" w:bidi="ar-SA"/>
    </w:rPr>
  </w:style>
  <w:style w:type="paragraph" w:styleId="Heading1">
    <w:name w:val="Heading 1"/>
    <w:basedOn w:val="Normal"/>
    <w:next w:val="BodyText"/>
    <w:uiPriority w:val="9"/>
    <w:qFormat/>
    <w:pPr>
      <w:keepNext w:val="true"/>
      <w:keepLines/>
      <w:pageBreakBefore/>
      <w:spacing w:before="280" w:after="120"/>
      <w:outlineLvl w:val="0"/>
    </w:pPr>
    <w:rPr>
      <w:rFonts w:ascii="Arial" w:hAnsi="Arial" w:eastAsia="Arial" w:cs="Arial"/>
      <w:b/>
      <w:bCs/>
      <w:color w:val="1D2433"/>
      <w:sz w:val="36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 w:val="true"/>
      <w:keepLines/>
      <w:spacing w:before="200" w:after="120"/>
      <w:outlineLvl w:val="1"/>
    </w:pPr>
    <w:rPr>
      <w:rFonts w:ascii="Arial" w:hAnsi="Arial" w:eastAsia="Arial" w:cs="Arial"/>
      <w:b/>
      <w:bCs/>
      <w:color w:val="2F4FD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 w:val="true"/>
      <w:keepLines/>
      <w:spacing w:before="200" w:after="120"/>
      <w:outlineLvl w:val="2"/>
    </w:pPr>
    <w:rPr>
      <w:rFonts w:ascii="Arial" w:hAnsi="Arial" w:eastAsia="Arial" w:cs="Arial"/>
      <w:b/>
      <w:bCs/>
      <w:color w:val="1D2433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 w:val="true"/>
      <w:keepLines/>
      <w:spacing w:before="200" w:after="120"/>
      <w:outlineLvl w:val="3"/>
    </w:pPr>
    <w:rPr>
      <w:rFonts w:ascii="Arial" w:hAnsi="Arial" w:eastAsia="Arial" w:cs="Arial"/>
      <w:b/>
      <w:bCs/>
      <w:i/>
      <w:color w:val="1D2433"/>
      <w:sz w:val="22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iCs/>
      <w:color w:themeColor="accent1" w:val="4F81BD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character" w:styleId="DefaultParagraphFont" w:default="1">
    <w:name w:val="Default Paragraph Font"/>
    <w:semiHidden/>
    <w:unhideWhenUsed/>
    <w:qFormat/>
    <w:rPr/>
  </w:style>
  <w:style w:type="character" w:styleId="BodyTextChar" w:customStyle="1">
    <w:name w:val="Body Text Char"/>
    <w:basedOn w:val="DefaultParagraphFont"/>
    <w:qFormat/>
    <w:rPr/>
  </w:style>
  <w:style w:type="character" w:styleId="VerbatimChar" w:customStyle="1">
    <w:name w:val="Verbatim Char"/>
    <w:basedOn w:val="BodyTextChar"/>
    <w:qFormat/>
    <w:rPr>
      <w:rFonts w:ascii="Consolas" w:hAnsi="Consolas"/>
      <w:sz w:val="22"/>
    </w:rPr>
  </w:style>
  <w:style w:type="character" w:styleId="SectionNumber" w:customStyle="1">
    <w:name w:val="Section Number"/>
    <w:basedOn w:val="BodyTextChar"/>
    <w:qFormat/>
    <w:rPr/>
  </w:style>
  <w:style w:type="character" w:styleId="FootnoteCharacters">
    <w:name w:val="Footnote Characters"/>
    <w:basedOn w:val="BodyTextChar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Hyperlink">
    <w:name w:val="Hyperlink"/>
    <w:basedOn w:val="BodyTextChar"/>
    <w:rPr>
      <w:color w:themeColor="accent1" w:val="4F81BD"/>
    </w:rPr>
  </w:style>
  <w:style w:type="character" w:styleId="KeywordTok" w:customStyle="1">
    <w:name w:val="KeywordTok"/>
    <w:basedOn w:val="VerbatimChar"/>
    <w:qFormat/>
    <w:rPr>
      <w:b/>
      <w:color w:val="007020"/>
    </w:rPr>
  </w:style>
  <w:style w:type="character" w:styleId="DataTypeTok" w:customStyle="1">
    <w:name w:val="DataTypeTok"/>
    <w:basedOn w:val="VerbatimChar"/>
    <w:qFormat/>
    <w:rPr>
      <w:color w:val="902000"/>
    </w:rPr>
  </w:style>
  <w:style w:type="character" w:styleId="DecValTok" w:customStyle="1">
    <w:name w:val="DecValTok"/>
    <w:basedOn w:val="VerbatimChar"/>
    <w:qFormat/>
    <w:rPr>
      <w:color w:val="40A070"/>
    </w:rPr>
  </w:style>
  <w:style w:type="character" w:styleId="BaseNTok" w:customStyle="1">
    <w:name w:val="BaseNTok"/>
    <w:basedOn w:val="VerbatimChar"/>
    <w:qFormat/>
    <w:rPr>
      <w:color w:val="40A070"/>
    </w:rPr>
  </w:style>
  <w:style w:type="character" w:styleId="FloatTok" w:customStyle="1">
    <w:name w:val="FloatTok"/>
    <w:basedOn w:val="VerbatimChar"/>
    <w:qFormat/>
    <w:rPr>
      <w:color w:val="40A070"/>
    </w:rPr>
  </w:style>
  <w:style w:type="character" w:styleId="ConstantTok" w:customStyle="1">
    <w:name w:val="ConstantTok"/>
    <w:basedOn w:val="VerbatimChar"/>
    <w:qFormat/>
    <w:rPr>
      <w:color w:val="880000"/>
    </w:rPr>
  </w:style>
  <w:style w:type="character" w:styleId="CharTok" w:customStyle="1">
    <w:name w:val="CharTok"/>
    <w:basedOn w:val="VerbatimChar"/>
    <w:qFormat/>
    <w:rPr>
      <w:color w:val="4070A0"/>
    </w:rPr>
  </w:style>
  <w:style w:type="character" w:styleId="SpecialCharTok" w:customStyle="1">
    <w:name w:val="SpecialCharTok"/>
    <w:basedOn w:val="VerbatimChar"/>
    <w:qFormat/>
    <w:rPr>
      <w:color w:val="4070A0"/>
    </w:rPr>
  </w:style>
  <w:style w:type="character" w:styleId="StringTok" w:customStyle="1">
    <w:name w:val="StringTok"/>
    <w:basedOn w:val="VerbatimChar"/>
    <w:qFormat/>
    <w:rPr>
      <w:color w:val="4070A0"/>
    </w:rPr>
  </w:style>
  <w:style w:type="character" w:styleId="VerbatimStringTok" w:customStyle="1">
    <w:name w:val="VerbatimStringTok"/>
    <w:basedOn w:val="VerbatimChar"/>
    <w:qFormat/>
    <w:rPr>
      <w:color w:val="4070A0"/>
    </w:rPr>
  </w:style>
  <w:style w:type="character" w:styleId="SpecialStringTok" w:customStyle="1">
    <w:name w:val="SpecialStringTok"/>
    <w:basedOn w:val="VerbatimChar"/>
    <w:qFormat/>
    <w:rPr>
      <w:color w:val="BB6688"/>
    </w:rPr>
  </w:style>
  <w:style w:type="character" w:styleId="ImportTok" w:customStyle="1">
    <w:name w:val="ImportTok"/>
    <w:basedOn w:val="VerbatimChar"/>
    <w:qFormat/>
    <w:rPr>
      <w:b/>
      <w:color w:val="008000"/>
    </w:rPr>
  </w:style>
  <w:style w:type="character" w:styleId="CommentTok" w:customStyle="1">
    <w:name w:val="CommentTok"/>
    <w:basedOn w:val="VerbatimChar"/>
    <w:qFormat/>
    <w:rPr>
      <w:i/>
      <w:color w:val="60A0B0"/>
    </w:rPr>
  </w:style>
  <w:style w:type="character" w:styleId="DocumentationTok" w:customStyle="1">
    <w:name w:val="DocumentationTok"/>
    <w:basedOn w:val="VerbatimChar"/>
    <w:qFormat/>
    <w:rPr>
      <w:i/>
      <w:color w:val="BA2121"/>
    </w:rPr>
  </w:style>
  <w:style w:type="character" w:styleId="AnnotationTok" w:customStyle="1">
    <w:name w:val="AnnotationTok"/>
    <w:basedOn w:val="VerbatimChar"/>
    <w:qFormat/>
    <w:rPr>
      <w:b/>
      <w:i/>
      <w:color w:val="60A0B0"/>
    </w:rPr>
  </w:style>
  <w:style w:type="character" w:styleId="CommentVarTok" w:customStyle="1">
    <w:name w:val="CommentVarTok"/>
    <w:basedOn w:val="VerbatimChar"/>
    <w:qFormat/>
    <w:rPr>
      <w:b/>
      <w:i/>
      <w:color w:val="60A0B0"/>
    </w:rPr>
  </w:style>
  <w:style w:type="character" w:styleId="OtherTok" w:customStyle="1">
    <w:name w:val="OtherTok"/>
    <w:basedOn w:val="VerbatimChar"/>
    <w:qFormat/>
    <w:rPr>
      <w:color w:val="007020"/>
    </w:rPr>
  </w:style>
  <w:style w:type="character" w:styleId="FunctionTok" w:customStyle="1">
    <w:name w:val="FunctionTok"/>
    <w:basedOn w:val="VerbatimChar"/>
    <w:qFormat/>
    <w:rPr>
      <w:color w:val="06287E"/>
    </w:rPr>
  </w:style>
  <w:style w:type="character" w:styleId="VariableTok" w:customStyle="1">
    <w:name w:val="VariableTok"/>
    <w:basedOn w:val="VerbatimChar"/>
    <w:qFormat/>
    <w:rPr>
      <w:color w:val="19177C"/>
    </w:rPr>
  </w:style>
  <w:style w:type="character" w:styleId="ControlFlowTok" w:customStyle="1">
    <w:name w:val="ControlFlowTok"/>
    <w:basedOn w:val="VerbatimChar"/>
    <w:qFormat/>
    <w:rPr>
      <w:b/>
      <w:color w:val="007020"/>
    </w:rPr>
  </w:style>
  <w:style w:type="character" w:styleId="OperatorTok" w:customStyle="1">
    <w:name w:val="OperatorTok"/>
    <w:basedOn w:val="VerbatimChar"/>
    <w:qFormat/>
    <w:rPr>
      <w:color w:val="666666"/>
    </w:rPr>
  </w:style>
  <w:style w:type="character" w:styleId="BuiltInTok" w:customStyle="1">
    <w:name w:val="BuiltInTok"/>
    <w:basedOn w:val="VerbatimChar"/>
    <w:qFormat/>
    <w:rPr>
      <w:color w:val="008000"/>
    </w:rPr>
  </w:style>
  <w:style w:type="character" w:styleId="ExtensionTok" w:customStyle="1">
    <w:name w:val="ExtensionTok"/>
    <w:basedOn w:val="VerbatimChar"/>
    <w:qFormat/>
    <w:rPr/>
  </w:style>
  <w:style w:type="character" w:styleId="PreprocessorTok" w:customStyle="1">
    <w:name w:val="PreprocessorTok"/>
    <w:basedOn w:val="VerbatimChar"/>
    <w:qFormat/>
    <w:rPr>
      <w:color w:val="BC7A00"/>
    </w:rPr>
  </w:style>
  <w:style w:type="character" w:styleId="AttributeTok" w:customStyle="1">
    <w:name w:val="AttributeTok"/>
    <w:basedOn w:val="VerbatimChar"/>
    <w:qFormat/>
    <w:rPr>
      <w:color w:val="7D9029"/>
    </w:rPr>
  </w:style>
  <w:style w:type="character" w:styleId="RegionMarkerTok" w:customStyle="1">
    <w:name w:val="RegionMarkerTok"/>
    <w:basedOn w:val="VerbatimChar"/>
    <w:qFormat/>
    <w:rPr/>
  </w:style>
  <w:style w:type="character" w:styleId="InformationTok" w:customStyle="1">
    <w:name w:val="InformationTok"/>
    <w:basedOn w:val="VerbatimChar"/>
    <w:qFormat/>
    <w:rPr>
      <w:b/>
      <w:i/>
      <w:color w:val="60A0B0"/>
    </w:rPr>
  </w:style>
  <w:style w:type="character" w:styleId="WarningTok" w:customStyle="1">
    <w:name w:val="WarningTok"/>
    <w:basedOn w:val="VerbatimChar"/>
    <w:qFormat/>
    <w:rPr>
      <w:b/>
      <w:i/>
      <w:color w:val="60A0B0"/>
    </w:rPr>
  </w:style>
  <w:style w:type="character" w:styleId="AlertTok" w:customStyle="1">
    <w:name w:val="AlertTok"/>
    <w:basedOn w:val="VerbatimChar"/>
    <w:qFormat/>
    <w:rPr>
      <w:b/>
      <w:color w:val="FF0000"/>
    </w:rPr>
  </w:style>
  <w:style w:type="character" w:styleId="ErrorTok" w:customStyle="1">
    <w:name w:val="ErrorTok"/>
    <w:basedOn w:val="VerbatimChar"/>
    <w:qFormat/>
    <w:rPr>
      <w:b/>
      <w:color w:val="FF0000"/>
    </w:rPr>
  </w:style>
  <w:style w:type="character" w:styleId="NormalTok" w:customStyle="1">
    <w:name w:val="NormalTok"/>
    <w:basedOn w:val="VerbatimChar"/>
    <w:qFormat/>
    <w:rPr/>
  </w:style>
  <w:style w:type="character" w:styleId="IndexLink">
    <w:name w:val="Index Link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WenQuanYi Zen Hei" w:cs="FreeSans"/>
      <w:sz w:val="28"/>
      <w:szCs w:val="28"/>
    </w:rPr>
  </w:style>
  <w:style w:type="paragraph" w:styleId="BodyText">
    <w:name w:val="Body Text"/>
    <w:basedOn w:val="Normal"/>
    <w:link w:val="BodyTextChar"/>
    <w:qFormat/>
    <w:pPr>
      <w:spacing w:lineRule="auto" w:line="276" w:before="180" w:after="100"/>
    </w:pPr>
    <w:rPr>
      <w:rFonts w:ascii="Arial" w:hAnsi="Arial" w:eastAsia="Arial" w:cs="Arial"/>
      <w:color w:val="1D2433"/>
      <w:sz w:val="21"/>
    </w:rPr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link w:val="BodyTextChar"/>
    <w:qFormat/>
    <w:pPr>
      <w:spacing w:before="0" w:after="120"/>
    </w:pPr>
    <w:rPr>
      <w:rFonts w:ascii="Arial" w:hAnsi="Arial" w:eastAsia="Arial" w:cs="Arial"/>
      <w:b w:val="false"/>
      <w:i w:val="false"/>
      <w:color w:val="6B7385"/>
      <w:sz w:val="18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FirstParagraph" w:customStyle="1">
    <w:name w:val="First Paragraph"/>
    <w:basedOn w:val="BodyText"/>
    <w:next w:val="BodyText"/>
    <w:qFormat/>
    <w:pPr>
      <w:spacing w:lineRule="auto" w:line="276" w:before="180" w:after="100"/>
    </w:pPr>
    <w:rPr>
      <w:rFonts w:ascii="Arial" w:hAnsi="Arial" w:eastAsia="Arial" w:cs="Arial"/>
      <w:color w:val="1D2433"/>
      <w:sz w:val="21"/>
    </w:rPr>
  </w:style>
  <w:style w:type="paragraph" w:styleId="Compact" w:customStyle="1">
    <w:name w:val="Compact"/>
    <w:basedOn w:val="BodyText"/>
    <w:qFormat/>
    <w:pPr>
      <w:spacing w:lineRule="auto" w:line="276" w:before="36" w:after="100"/>
    </w:pPr>
    <w:rPr>
      <w:rFonts w:ascii="Arial" w:hAnsi="Arial" w:eastAsia="Arial" w:cs="Arial"/>
      <w:color w:val="1D2433"/>
      <w:sz w:val="21"/>
    </w:rPr>
  </w:style>
  <w:style w:type="paragraph" w:styleId="Title">
    <w:name w:val="Title"/>
    <w:basedOn w:val="Normal"/>
    <w:next w:val="BodyText"/>
    <w:qFormat/>
    <w:pPr>
      <w:keepNext w:val="true"/>
      <w:keepLines/>
      <w:spacing w:before="480" w:after="240"/>
      <w:jc w:val="center"/>
    </w:pPr>
    <w:rPr>
      <w:rFonts w:ascii="Arial" w:hAnsi="Arial" w:eastAsia="Arial" w:cs="Arial"/>
      <w:b/>
      <w:bCs/>
      <w:color w:val="1D2433"/>
      <w:sz w:val="56"/>
      <w:szCs w:val="36"/>
    </w:rPr>
  </w:style>
  <w:style w:type="paragraph" w:styleId="Subtitle">
    <w:name w:val="Subtitle"/>
    <w:basedOn w:val="Title"/>
    <w:next w:val="BodyText"/>
    <w:qFormat/>
    <w:pPr>
      <w:keepNext w:val="true"/>
      <w:keepLines/>
      <w:spacing w:before="240" w:after="240"/>
      <w:jc w:val="center"/>
    </w:pPr>
    <w:rPr>
      <w:rFonts w:ascii="Arial" w:hAnsi="Arial" w:eastAsia="Arial" w:cs="Arial"/>
      <w:b w:val="false"/>
      <w:color w:val="2F4FD1"/>
      <w:sz w:val="30"/>
      <w:szCs w:val="30"/>
    </w:rPr>
  </w:style>
  <w:style w:type="paragraph" w:styleId="Author" w:customStyle="1">
    <w:name w:val="Author"/>
    <w:next w:val="BodyText"/>
    <w:qFormat/>
    <w:pPr>
      <w:keepNext w:val="true"/>
      <w:keepLines/>
      <w:widowControl/>
      <w:bidi w:val="0"/>
      <w:spacing w:before="0" w:after="200"/>
      <w:jc w:val="center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Date">
    <w:name w:val="Date"/>
    <w:next w:val="BodyText"/>
    <w:qFormat/>
    <w:pPr>
      <w:keepNext w:val="true"/>
      <w:keepLines/>
      <w:widowControl/>
      <w:bidi w:val="0"/>
      <w:spacing w:before="0" w:after="200"/>
      <w:jc w:val="center"/>
    </w:pPr>
    <w:rPr>
      <w:rFonts w:ascii="Arial" w:hAnsi="Arial" w:eastAsia="Arial" w:cs="Arial"/>
      <w:b w:val="false"/>
      <w:color w:val="6B7385"/>
      <w:kern w:val="0"/>
      <w:sz w:val="22"/>
      <w:szCs w:val="24"/>
      <w:lang w:val="en-US" w:eastAsia="en-US" w:bidi="ar-SA"/>
    </w:rPr>
  </w:style>
  <w:style w:type="paragraph" w:styleId="AbstractTitle" w:customStyle="1">
    <w:name w:val="Abstract Title"/>
    <w:basedOn w:val="Normal"/>
    <w:next w:val="Abstract"/>
    <w:qFormat/>
    <w:pPr>
      <w:keepNext w:val="true"/>
      <w:keepLines/>
      <w:spacing w:before="300" w:after="0"/>
      <w:jc w:val="center"/>
    </w:pPr>
    <w:rPr>
      <w:b/>
      <w:color w:val="345A8A"/>
      <w:sz w:val="20"/>
      <w:szCs w:val="20"/>
    </w:rPr>
  </w:style>
  <w:style w:type="paragraph" w:styleId="Abstract" w:customStyle="1">
    <w:name w:val="Abstract"/>
    <w:basedOn w:val="Normal"/>
    <w:next w:val="BodyText"/>
    <w:qFormat/>
    <w:pPr>
      <w:keepNext w:val="true"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  <w:pPr/>
    <w:rPr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hanging="0" w:left="480" w:right="480"/>
    </w:pPr>
    <w:rPr>
      <w:rFonts w:ascii="Arial" w:hAnsi="Arial" w:eastAsia="Arial" w:cs="Arial"/>
      <w:b w:val="false"/>
      <w:color w:val="1D2433"/>
      <w:sz w:val="20"/>
    </w:rPr>
  </w:style>
  <w:style w:type="paragraph" w:styleId="FootnoteText">
    <w:name w:val="Footnote Text"/>
    <w:basedOn w:val="Normal"/>
    <w:uiPriority w:val="9"/>
    <w:unhideWhenUsed/>
    <w:qFormat/>
    <w:pPr/>
    <w:rPr/>
  </w:style>
  <w:style w:type="paragraph" w:styleId="DefinitionTerm" w:customStyle="1">
    <w:name w:val="Definition Term"/>
    <w:basedOn w:val="Normal"/>
    <w:next w:val="Definition"/>
    <w:qFormat/>
    <w:pPr>
      <w:keepNext w:val="true"/>
      <w:keepLines/>
      <w:spacing w:before="0" w:after="0"/>
    </w:pPr>
    <w:rPr>
      <w:b/>
    </w:rPr>
  </w:style>
  <w:style w:type="paragraph" w:styleId="Definition" w:customStyle="1">
    <w:name w:val="Definition"/>
    <w:basedOn w:val="Normal"/>
    <w:qFormat/>
    <w:pPr/>
    <w:rPr/>
  </w:style>
  <w:style w:type="paragraph" w:styleId="TableCaption" w:customStyle="1">
    <w:name w:val="Table Caption"/>
    <w:basedOn w:val="Caption"/>
    <w:qFormat/>
    <w:pPr>
      <w:keepNext w:val="true"/>
    </w:pPr>
    <w:rPr>
      <w:rFonts w:ascii="Arial" w:hAnsi="Arial" w:eastAsia="Arial" w:cs="Arial"/>
      <w:b w:val="false"/>
      <w:i w:val="false"/>
      <w:color w:val="6B7385"/>
      <w:sz w:val="18"/>
    </w:rPr>
  </w:style>
  <w:style w:type="paragraph" w:styleId="ImageCaption" w:customStyle="1">
    <w:name w:val="Image Caption"/>
    <w:basedOn w:val="Caption"/>
    <w:qFormat/>
    <w:pPr/>
    <w:rPr>
      <w:rFonts w:ascii="Arial" w:hAnsi="Arial" w:eastAsia="Arial" w:cs="Arial"/>
      <w:b w:val="false"/>
      <w:i w:val="false"/>
      <w:color w:val="6B7385"/>
      <w:sz w:val="18"/>
    </w:rPr>
  </w:style>
  <w:style w:type="paragraph" w:styleId="Figure" w:customStyle="1">
    <w:name w:val="Figure"/>
    <w:basedOn w:val="Normal"/>
    <w:qFormat/>
    <w:pPr/>
    <w:rPr/>
  </w:style>
  <w:style w:type="paragraph" w:styleId="CaptionedFigure" w:customStyle="1">
    <w:name w:val="Captioned Figure"/>
    <w:basedOn w:val="Figure"/>
    <w:qFormat/>
    <w:pPr>
      <w:keepNext w:val="true"/>
    </w:pPr>
    <w:rPr/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BodyText"/>
    <w:uiPriority w:val="39"/>
    <w:unhideWhenUsed/>
    <w:qFormat/>
    <w:pPr>
      <w:spacing w:lineRule="auto" w:line="259" w:before="240" w:after="120"/>
      <w:outlineLvl w:val="9"/>
    </w:pPr>
    <w:rPr>
      <w:rFonts w:ascii="Arial" w:hAnsi="Arial" w:eastAsia="Arial" w:cs="Arial"/>
      <w:b/>
      <w:bCs w:val="false"/>
      <w:color w:val="1D2433"/>
      <w:sz w:val="36"/>
    </w:rPr>
  </w:style>
  <w:style w:type="paragraph" w:styleId="SourceCode" w:customStyle="1">
    <w:name w:val="Source Code"/>
    <w:basedOn w:val="Normal"/>
    <w:link w:val="VerbatimChar"/>
    <w:qFormat/>
    <w:pPr/>
    <w:rPr/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HeaderandFooter"/>
    <w:pPr/>
    <w:rPr/>
  </w:style>
  <w:style w:type="paragraph" w:styleId="TOC1">
    <w:name w:val="TOC 1"/>
    <w:basedOn w:val="Index"/>
    <w:pPr>
      <w:tabs>
        <w:tab w:val="clear" w:pos="720"/>
        <w:tab w:val="right" w:pos="9360" w:leader="dot"/>
      </w:tabs>
      <w:ind w:hanging="0" w:left="0"/>
    </w:pPr>
    <w:rPr/>
  </w:style>
  <w:style w:type="paragraph" w:styleId="TOC2">
    <w:name w:val="TOC 2"/>
    <w:basedOn w:val="Index"/>
    <w:pPr>
      <w:tabs>
        <w:tab w:val="clear" w:pos="720"/>
        <w:tab w:val="right" w:pos="9077" w:leader="dot"/>
      </w:tabs>
      <w:ind w:hanging="0" w:left="283"/>
    </w:pPr>
    <w:rPr/>
  </w:style>
  <w:style w:type="table" w:default="1" w:styleId="Table">
    <w:name w:val="Table"/>
    <w:basedOn w:val="TableNormal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/>
        </w:tcBorders>
        <w:vAlign w:val="bottom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image" Target="media/image12.png"/><Relationship Id="rId14" Type="http://schemas.openxmlformats.org/officeDocument/2006/relationships/image" Target="media/image13.png"/><Relationship Id="rId15" Type="http://schemas.openxmlformats.org/officeDocument/2006/relationships/image" Target="media/image14.png"/><Relationship Id="rId16" Type="http://schemas.openxmlformats.org/officeDocument/2006/relationships/image" Target="media/image15.png"/><Relationship Id="rId17" Type="http://schemas.openxmlformats.org/officeDocument/2006/relationships/image" Target="media/image16.png"/><Relationship Id="rId18" Type="http://schemas.openxmlformats.org/officeDocument/2006/relationships/footer" Target="footer1.xml"/><Relationship Id="rId19" Type="http://schemas.openxmlformats.org/officeDocument/2006/relationships/footer" Target="footer2.xml"/><Relationship Id="rId20" Type="http://schemas.openxmlformats.org/officeDocument/2006/relationships/footer" Target="footer3.xml"/><Relationship Id="rId21" Type="http://schemas.openxmlformats.org/officeDocument/2006/relationships/numbering" Target="numbering.xml"/><Relationship Id="rId22" Type="http://schemas.openxmlformats.org/officeDocument/2006/relationships/fontTable" Target="fontTable.xml"/><Relationship Id="rId23" Type="http://schemas.openxmlformats.org/officeDocument/2006/relationships/settings" Target="settings.xml"/><Relationship Id="rId2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Application>LibreOffice/24.2.7.2$Linux_X86_64 LibreOffice_project/420$Build-2</Application>
  <AppVersion>15.0000</AppVersion>
  <Pages>62</Pages>
  <Words>709</Words>
  <Characters>4764</Characters>
  <CharactersWithSpaces>5000</CharactersWithSpaces>
  <Paragraphs>502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2026-10-30T06:04:09Z</dcterms:created>
  <dc:creator/>
  <dc:description/>
  <dc:language>en-US</dc:language>
  <cp:lastModifiedBy/>
  <dcterms:modified xsi:type="dcterms:W3CDTF">2026-10-30T06:06:03Z</dcterms:modified>
  <cp:revision>1</cp:revision>
  <dc:subject/>
  <dc:title>Описание архитектуры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30 октября 2026</vt:lpwstr>
  </property>
  <property fmtid="{D5CDD505-2E9C-101B-9397-08002B2CF9AE}" pid="3" name="subtitle">
    <vt:lpwstr>Планировщик отпусков 1.0.0 · Компоненты, данные, интерфейсы и безопасность</vt:lpwstr>
  </property>
  <property fmtid="{D5CDD505-2E9C-101B-9397-08002B2CF9AE}" pid="4" name="toc-title">
    <vt:lpwstr>Содержание</vt:lpwstr>
  </property>
</Properties>
</file>