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SBOM и лицензии</w:t>
      </w:r>
    </w:p>
    <w:p>
      <w:pPr>
        <w:pStyle w:val="Subtitle"/>
        <w:rPr/>
      </w:pPr>
      <w:r>
        <w:rPr/>
        <w:t>Планировщик отпусков 0.5.0 · Состав компонентов для реестра отечественного ПО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180_227591580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82_2275915807">
            <w:r>
              <w:rPr>
                <w:webHidden/>
                <w:rStyle w:val="IndexLink"/>
              </w:rPr>
              <w:t>2 Состав и генерация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84_2275915807">
            <w:r>
              <w:rPr>
                <w:webHidden/>
                <w:rStyle w:val="IndexLink"/>
              </w:rPr>
              <w:t>3 Классификация лицензий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86_2275915807">
            <w:r>
              <w:rPr>
                <w:webHidden/>
                <w:rStyle w:val="IndexLink"/>
              </w:rPr>
              <w:t>4 Текущее состояние (v0.5.0)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88_2275915807">
            <w:r>
              <w:rPr>
                <w:webHidden/>
                <w:rStyle w:val="IndexLink"/>
              </w:rPr>
              <w:t>5 Контроль в конвейере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90_2275915807">
            <w:r>
              <w:rPr>
                <w:webHidden/>
                <w:rStyle w:val="IndexLink"/>
              </w:rPr>
              <w:t>6 Ответственность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192_2275915807">
            <w:r>
              <w:rPr>
                <w:webHidden/>
                <w:rStyle w:val="IndexLink"/>
              </w:rPr>
              <w:t>7 Изменение классификатора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1180_227591580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Документ описывает, как ведётся состав сторонних компонентов (SBOM) «Планировщика отпусков» и как проверяются их лицензии. Цель — </w:t>
      </w:r>
      <w:r>
        <w:rPr>
          <w:b/>
          <w:bCs/>
        </w:rPr>
        <w:t>регистрация системы в реестре отечественного ПО</w:t>
      </w:r>
      <w:r>
        <w:rPr/>
        <w:t xml:space="preserve"> (постановление Правительства РФ № 1236): правообладатель подтверждает, что сторонние компоненты используются на условиях, не противоречащих требованиям реестра, и не обязывают раскрывать исходный код регистрируемого ПО.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Артефакт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это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sbom/server.cdx.json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sbom/web.cdx.json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в формате CycloneDX 1.5 (генерируется, в git не хранится)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Отчёт по лицензиям (генерируется, хранится в git)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scripts/license-report.mjs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Классификатор лицензий и генератор отчёта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21182_2275915807"/>
      <w:bookmarkEnd w:id="2"/>
      <w:r>
        <w:rPr>
          <w:rStyle w:val="SectionNumber"/>
        </w:rPr>
        <w:t>2</w:t>
      </w:r>
      <w:r>
        <w:rPr/>
        <w:tab/>
        <w:t>Состав и генерация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Артефакт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Пакет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sbom/server.cdx.json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API на NestJS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cd server &amp;&amp; npm run sbom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sbom/web.cdx.json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клиент на Vue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cd web &amp;&amp; npm run sbom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оба пакета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 scripts/license-report.mjs</w:t>
            </w:r>
          </w:p>
        </w:tc>
      </w:tr>
    </w:tbl>
    <w:p>
      <w:pPr>
        <w:pStyle w:val="BodyText"/>
        <w:rPr/>
      </w:pPr>
      <w:r>
        <w:rPr/>
        <w:t xml:space="preserve">Всё вместе — </w:t>
      </w:r>
      <w:r>
        <w:rPr>
          <w:rStyle w:val="VerbatimChar"/>
        </w:rPr>
        <w:t>make sbom</w:t>
      </w:r>
      <w:r>
        <w:rPr/>
        <w:t xml:space="preserve">. SBOM строится по </w:t>
      </w:r>
      <w:r>
        <w:rPr>
          <w:rStyle w:val="VerbatimChar"/>
        </w:rPr>
        <w:t>package-lock.json</w:t>
      </w:r>
      <w:r>
        <w:rPr/>
        <w:t xml:space="preserve"> (</w:t>
      </w:r>
      <w:r>
        <w:rPr>
          <w:rStyle w:val="VerbatimChar"/>
        </w:rPr>
        <w:t>--package-lock-only</w:t>
      </w:r>
      <w:r>
        <w:rPr/>
        <w:t>), поэтому состав детерминирован и воспроизводим (</w:t>
      </w:r>
      <w:r>
        <w:rPr>
          <w:rStyle w:val="VerbatimChar"/>
        </w:rPr>
        <w:t>--output-reproducible</w:t>
      </w:r>
      <w:r>
        <w:rPr/>
        <w:t>); вложенные компоненты разворачиваются в плоский список (</w:t>
      </w:r>
      <w:r>
        <w:rPr>
          <w:rStyle w:val="VerbatimChar"/>
        </w:rPr>
        <w:t>--flatten-components</w:t>
      </w:r>
      <w:r>
        <w:rPr/>
        <w:t>). Формат CycloneDX 1.5 читают инструменты Минцифры и коммерческие сканеры.</w:t>
      </w:r>
    </w:p>
    <w:p>
      <w:pPr>
        <w:pStyle w:val="BodyText"/>
        <w:rPr/>
      </w:pPr>
      <w:r>
        <w:rPr/>
        <w:t>В SBOM входят зависимости, которые попадают в поставку и сборку. Инструменты документации (</w:t>
      </w:r>
      <w:r>
        <w:rPr>
          <w:rStyle w:val="VerbatimChar"/>
        </w:rPr>
        <w:t>tools/docs</w:t>
      </w:r>
      <w:r>
        <w:rPr/>
        <w:t xml:space="preserve">) в поставку не входят и в отчёт не включаются; их лицензии разрешительные и зафиксированы в </w:t>
      </w:r>
      <w:r>
        <w:rPr>
          <w:rStyle w:val="VerbatimChar"/>
        </w:rPr>
        <w:t>docs/decisions.md</w:t>
      </w:r>
      <w:r>
        <w:rPr/>
        <w:t>.</w:t>
      </w:r>
    </w:p>
    <w:p>
      <w:pPr>
        <w:pStyle w:val="Heading1"/>
        <w:rPr/>
      </w:pPr>
      <w:bookmarkStart w:id="3" w:name="__RefHeading___Toc21184_2275915807"/>
      <w:bookmarkEnd w:id="3"/>
      <w:r>
        <w:rPr>
          <w:rStyle w:val="SectionNumber"/>
        </w:rPr>
        <w:t>3</w:t>
      </w:r>
      <w:r>
        <w:rPr/>
        <w:tab/>
        <w:t>Классификация лицензий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Класс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Риск для реестра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Политика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Разрешительные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MIT, MIT-0, Apache-2.0, BSD-2/3, ISC, 0BSD, BlueOak, CC0, Unlicense, Python-2.0, PSF-2.0, составные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AND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них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Допускаются; авторство указывается в документации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Двойные с разрешительной альтернативой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MIT OR GPL-3.0-or-later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Низкий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Допускаются: используется разрешительная ветвь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Слабый copyleft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LGPL, MPL-2.0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Средний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с ревью технического лидера и записью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docs/decisions.md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Сильный copyleft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GPL-2.0/3.0, AGPL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Запрещены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определена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Нет поля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неизвестен текст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Высокий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Блокер слияния: установить по тексту LICENSE или отказаться от зависимости</w:t>
            </w:r>
            <w:bookmarkStart w:id="4" w:name="классификация-лицензий"/>
            <w:bookmarkEnd w:id="4"/>
          </w:p>
        </w:tc>
      </w:tr>
    </w:tbl>
    <w:p>
      <w:pPr>
        <w:pStyle w:val="Heading1"/>
        <w:rPr/>
      </w:pPr>
      <w:bookmarkStart w:id="5" w:name="__RefHeading___Toc21186_2275915807"/>
      <w:bookmarkEnd w:id="5"/>
      <w:r>
        <w:rPr>
          <w:rStyle w:val="SectionNumber"/>
        </w:rPr>
        <w:t>4</w:t>
      </w:r>
      <w:r>
        <w:rPr/>
        <w:tab/>
        <w:t>Текущее состояние (v0.5.0)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Показатель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Компонентов (уникальных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name@version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852 в двух пакетах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Различных лицензий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Copyleft и неопределённых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Вердикт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Препятствий для регистрации в реестре не выявлено</w:t>
            </w:r>
          </w:p>
        </w:tc>
      </w:tr>
    </w:tbl>
    <w:p>
      <w:pPr>
        <w:pStyle w:val="BodyText"/>
        <w:rPr/>
      </w:pPr>
      <w:r>
        <w:rPr/>
        <w:t>Три компонента (</w:t>
      </w:r>
      <w:r>
        <w:rPr>
          <w:rStyle w:val="VerbatimChar"/>
        </w:rPr>
        <w:t>buffers</w:t>
      </w:r>
      <w:r>
        <w:rPr/>
        <w:t xml:space="preserve">, </w:t>
      </w:r>
      <w:r>
        <w:rPr>
          <w:rStyle w:val="VerbatimChar"/>
        </w:rPr>
        <w:t>busboy</w:t>
      </w:r>
      <w:r>
        <w:rPr/>
        <w:t xml:space="preserve">, </w:t>
      </w:r>
      <w:r>
        <w:rPr>
          <w:rStyle w:val="VerbatimChar"/>
        </w:rPr>
        <w:t>streamsearch</w:t>
      </w:r>
      <w:r>
        <w:rPr/>
        <w:t xml:space="preserve">) не заполняют поле </w:t>
      </w:r>
      <w:r>
        <w:rPr>
          <w:rStyle w:val="VerbatimChar"/>
        </w:rPr>
        <w:t>license</w:t>
      </w:r>
      <w:r>
        <w:rPr/>
        <w:t xml:space="preserve"> в манифесте; их лицензия MIT установлена по тексту LICENSE-файла и зафиксирована в таблице исключений скрипта (в отчёте помечены </w:t>
      </w:r>
      <w:r>
        <w:rPr>
          <w:rStyle w:val="VerbatimChar"/>
        </w:rPr>
        <w:t>*</w:t>
      </w:r>
      <w:r>
        <w:rPr/>
        <w:t>). При обновлении их версий лицензия проверяется вручную.</w:t>
      </w:r>
    </w:p>
    <w:p>
      <w:pPr>
        <w:pStyle w:val="BodyText"/>
        <w:rPr/>
      </w:pPr>
      <w:r>
        <w:rPr/>
        <w:t xml:space="preserve">В v0.4.0 добавлены </w:t>
      </w:r>
      <w:r>
        <w:rPr>
          <w:rStyle w:val="VerbatimChar"/>
        </w:rPr>
        <w:t>nodemailer</w:t>
      </w:r>
      <w:r>
        <w:rPr/>
        <w:t xml:space="preserve"> (MIT-0) и, через js-yaml 5.5, </w:t>
      </w:r>
      <w:r>
        <w:rPr>
          <w:rStyle w:val="VerbatimChar"/>
        </w:rPr>
        <w:t>argparse</w:t>
      </w:r>
      <w:r>
        <w:rPr/>
        <w:t xml:space="preserve"> (PSF-2.0): обе лицензии разрешительные и внесены в классификатор с обоснованием в </w:t>
      </w:r>
      <w:r>
        <w:rPr>
          <w:rStyle w:val="VerbatimChar"/>
        </w:rPr>
        <w:t>docs/decisions.md</w:t>
      </w:r>
      <w:r>
        <w:rPr/>
        <w:t xml:space="preserve">. Транзитивные уязвимые версии </w:t>
      </w:r>
      <w:r>
        <w:rPr>
          <w:rStyle w:val="VerbatimChar"/>
        </w:rPr>
        <w:t>multer</w:t>
      </w:r>
      <w:r>
        <w:rPr/>
        <w:t xml:space="preserve"> и </w:t>
      </w:r>
      <w:r>
        <w:rPr>
          <w:rStyle w:val="VerbatimChar"/>
        </w:rPr>
        <w:t>js-yaml</w:t>
      </w:r>
      <w:r>
        <w:rPr/>
        <w:t xml:space="preserve"> заменены исправленными через </w:t>
      </w:r>
      <w:r>
        <w:rPr>
          <w:rStyle w:val="VerbatimChar"/>
        </w:rPr>
        <w:t>overrides</w:t>
      </w:r>
      <w:r>
        <w:rPr/>
        <w:t xml:space="preserve"> в </w:t>
      </w:r>
      <w:r>
        <w:rPr>
          <w:rStyle w:val="VerbatimChar"/>
        </w:rPr>
        <w:t>server/package.json</w:t>
      </w:r>
      <w:r>
        <w:rPr/>
        <w:t>.</w:t>
      </w:r>
    </w:p>
    <w:p>
      <w:pPr>
        <w:pStyle w:val="BodyText"/>
        <w:rPr/>
      </w:pPr>
      <w:r>
        <w:rPr/>
        <w:t xml:space="preserve">В v0.5.0 новых зависимостей нет, состав не изменился: метрики Prometheus — собственный реестр вместо </w:t>
      </w:r>
      <w:r>
        <w:rPr>
          <w:rStyle w:val="VerbatimChar"/>
        </w:rPr>
        <w:t>prom-client</w:t>
      </w:r>
      <w:r>
        <w:rPr/>
        <w:t xml:space="preserve">, генератор нагрузки — на встроенном </w:t>
      </w:r>
      <w:r>
        <w:rPr>
          <w:rStyle w:val="VerbatimChar"/>
        </w:rPr>
        <w:t>fetch</w:t>
      </w:r>
      <w:r>
        <w:rPr/>
        <w:t xml:space="preserve"> вместо k6 (AGPL-3.0), реплика и архив WAL — штатные средства PostgreSQL.</w:t>
      </w:r>
    </w:p>
    <w:p>
      <w:pPr>
        <w:pStyle w:val="BodyText"/>
        <w:rPr/>
      </w:pPr>
      <w:r>
        <w:rPr/>
        <w:t xml:space="preserve">Полный перечень — </w:t>
      </w:r>
      <w:r>
        <w:rPr>
          <w:rStyle w:val="VerbatimChar"/>
        </w:rPr>
        <w:t>docs/sbom/licenses-report.md</w:t>
      </w:r>
      <w:r>
        <w:rPr/>
        <w:t>; он перегенерируется автоматически и вручную не правится.</w:t>
      </w:r>
    </w:p>
    <w:p>
      <w:pPr>
        <w:pStyle w:val="Heading1"/>
        <w:rPr/>
      </w:pPr>
      <w:bookmarkStart w:id="6" w:name="__RefHeading___Toc21188_2275915807"/>
      <w:bookmarkStart w:id="7" w:name="контроль-в-конвейере"/>
      <w:bookmarkEnd w:id="6"/>
      <w:r>
        <w:rPr>
          <w:rStyle w:val="SectionNumber"/>
        </w:rPr>
        <w:t>5</w:t>
      </w:r>
      <w:r>
        <w:rPr/>
        <w:tab/>
        <w:t>Контроль в конвейере</w:t>
      </w:r>
    </w:p>
    <w:p>
      <w:pPr>
        <w:pStyle w:val="Compact"/>
        <w:numPr>
          <w:ilvl w:val="0"/>
          <w:numId w:val="3"/>
        </w:numPr>
        <w:rPr/>
      </w:pPr>
      <w:r>
        <w:rPr/>
        <w:t>На каждый push и PR задание «SBOM и лицензии» в GitHub и Gitea генерирует SBOM и отчёт; задание падает при лицензии среднего или высокого риска либо неопределённой.</w:t>
      </w:r>
    </w:p>
    <w:p>
      <w:pPr>
        <w:pStyle w:val="Compact"/>
        <w:numPr>
          <w:ilvl w:val="0"/>
          <w:numId w:val="1"/>
        </w:numPr>
        <w:rPr/>
      </w:pPr>
      <w:r>
        <w:rPr/>
        <w:t>SBOM публикуется артефактом прогона — состав известен для каждого коммита.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 с новой зависимостью содержит обновлённый </w:t>
      </w:r>
      <w:r>
        <w:rPr>
          <w:rStyle w:val="VerbatimChar"/>
        </w:rPr>
        <w:t>package-lock.json</w:t>
      </w:r>
      <w:r>
        <w:rPr/>
        <w:t xml:space="preserve">, отчёт и запись в </w:t>
      </w:r>
      <w:r>
        <w:rPr>
          <w:rStyle w:val="VerbatimChar"/>
        </w:rPr>
        <w:t>docs/decisions.md</w:t>
      </w:r>
      <w:r>
        <w:rPr/>
        <w:t xml:space="preserve"> с обоснованием.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При выпуске версии итоги SBOM (число компонентов и вердикт) фиксируются в </w:t>
      </w:r>
      <w:r>
        <w:rPr>
          <w:rStyle w:val="VerbatimChar"/>
        </w:rPr>
        <w:t>docs/versions.md</w:t>
      </w:r>
      <w:r>
        <w:rPr/>
        <w:t>.</w:t>
      </w:r>
      <w:bookmarkEnd w:id="7"/>
    </w:p>
    <w:p>
      <w:pPr>
        <w:pStyle w:val="Heading1"/>
        <w:rPr/>
      </w:pPr>
      <w:bookmarkStart w:id="8" w:name="__RefHeading___Toc21190_2275915807"/>
      <w:bookmarkEnd w:id="8"/>
      <w:r>
        <w:rPr>
          <w:rStyle w:val="SectionNumber"/>
        </w:rPr>
        <w:t>6</w:t>
      </w:r>
      <w:r>
        <w:rPr/>
        <w:tab/>
        <w:t>Ответственность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Технический лидер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Владелец процесса; ревью новых зависимостей и изменений классификатора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CI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Генерация и проверка на каждый коммит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Юридическая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Интерпретация спорных лицензий по запросу с приложением отчёта</w:t>
            </w:r>
            <w:bookmarkStart w:id="9" w:name="ответственность"/>
            <w:bookmarkEnd w:id="9"/>
          </w:p>
        </w:tc>
      </w:tr>
    </w:tbl>
    <w:p>
      <w:pPr>
        <w:pStyle w:val="Heading1"/>
        <w:rPr/>
      </w:pPr>
      <w:bookmarkStart w:id="10" w:name="__RefHeading___Toc21192_2275915807"/>
      <w:bookmarkEnd w:id="10"/>
      <w:r>
        <w:rPr>
          <w:rStyle w:val="SectionNumber"/>
        </w:rPr>
        <w:t>7</w:t>
      </w:r>
      <w:r>
        <w:rPr/>
        <w:tab/>
        <w:t>Изменение классификатора</w:t>
      </w:r>
    </w:p>
    <w:p>
      <w:pPr>
        <w:pStyle w:val="FirstParagraph"/>
        <w:spacing w:lineRule="auto" w:line="276" w:before="180" w:after="100"/>
        <w:rPr/>
      </w:pPr>
      <w:r>
        <w:rPr/>
        <w:t xml:space="preserve">Новая лицензия добавляется в таблицу </w:t>
      </w:r>
      <w:r>
        <w:rPr>
          <w:rStyle w:val="VerbatimChar"/>
        </w:rPr>
        <w:t>LICENSE_CLASS</w:t>
      </w:r>
      <w:r>
        <w:rPr/>
        <w:t xml:space="preserve"> скрипта </w:t>
      </w:r>
      <w:r>
        <w:rPr>
          <w:rStyle w:val="VerbatimChar"/>
        </w:rPr>
        <w:t>scripts/license-report.mjs</w:t>
      </w:r>
      <w:r>
        <w:rPr/>
        <w:t xml:space="preserve"> с обоснованием в </w:t>
      </w:r>
      <w:r>
        <w:rPr>
          <w:rStyle w:val="VerbatimChar"/>
        </w:rPr>
        <w:t>docs/decisions.md</w:t>
      </w:r>
      <w:r>
        <w:rPr/>
        <w:t>. Изменение политики раздела «Классификация лицензий» — только через ревью технического лидера.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SBOM и лицензии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SBOM и лицензии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2026-10-28T22:30:43Z</dcterms:created>
  <dc:creator/>
  <dc:description/>
  <dc:language>en-US</dc:language>
  <cp:lastModifiedBy/>
  <dcterms:modified xsi:type="dcterms:W3CDTF">2026-10-28T22:31:12Z</dcterms:modified>
  <cp:revision>1</cp:revision>
  <dc:subject/>
  <dc:title>SBOM и лицензии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Состав компонентов для реестра отечественного ПО</vt:lpwstr>
  </property>
  <property fmtid="{D5CDD505-2E9C-101B-9397-08002B2CF9AE}" pid="4" name="toc-title">
    <vt:lpwstr>Содержание</vt:lpwstr>
  </property>
</Properties>
</file>