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Описание архитектуры</w:t>
      </w:r>
    </w:p>
    <w:p>
      <w:pPr>
        <w:pStyle w:val="Subtitle"/>
        <w:rPr/>
      </w:pPr>
      <w:r>
        <w:rPr/>
        <w:t>Планировщик отпусков 0.5.0 · Платформа, компоненты, решения и план развития</w:t>
      </w:r>
    </w:p>
    <w:p>
      <w:pPr>
        <w:pStyle w:val="Date"/>
        <w:rPr/>
      </w:pPr>
      <w:r>
        <w:rPr/>
        <w:t>28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4183_2275915807">
            <w:r>
              <w:rPr>
                <w:webHidden/>
                <w:rStyle w:val="IndexLink"/>
              </w:rPr>
              <w:t>1 О документе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185_2275915807">
            <w:r>
              <w:rPr>
                <w:webHidden/>
                <w:rStyle w:val="IndexLink"/>
              </w:rPr>
              <w:t>2 Общие сведения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187_2275915807">
            <w:r>
              <w:rPr>
                <w:webHidden/>
                <w:rStyle w:val="IndexLink"/>
              </w:rPr>
              <w:t>2.1 Назначение и класс системы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189_2275915807">
            <w:r>
              <w:rPr>
                <w:webHidden/>
                <w:rStyle w:val="IndexLink"/>
              </w:rPr>
              <w:t>2.2 Архитектурные принципы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191_2275915807">
            <w:r>
              <w:rPr>
                <w:webHidden/>
                <w:rStyle w:val="IndexLink"/>
              </w:rPr>
              <w:t>2.3 Показатели кодовой базы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193_2275915807">
            <w:r>
              <w:rPr>
                <w:webHidden/>
                <w:rStyle w:val="IndexLink"/>
              </w:rPr>
              <w:t>3 Контекст системы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195_2275915807">
            <w:r>
              <w:rPr>
                <w:webHidden/>
                <w:rStyle w:val="IndexLink"/>
              </w:rPr>
              <w:t>4 Контейнеры и развёртывание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197_2275915807">
            <w:r>
              <w:rPr>
                <w:webHidden/>
                <w:rStyle w:val="IndexLink"/>
              </w:rPr>
              <w:t>4.1 Состав контейнеров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199_2275915807">
            <w:r>
              <w:rPr>
                <w:webHidden/>
                <w:rStyle w:val="IndexLink"/>
              </w:rPr>
              <w:t>4.2 Поставка и окружения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01_2275915807">
            <w:r>
              <w:rPr>
                <w:webHidden/>
                <w:rStyle w:val="IndexLink"/>
              </w:rPr>
              <w:t>4.3 Масштабирование</w:t>
              <w:tab/>
              <w:t>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203_2275915807">
            <w:r>
              <w:rPr>
                <w:webHidden/>
                <w:rStyle w:val="IndexLink"/>
              </w:rPr>
              <w:t>5 Серверная часть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05_2275915807">
            <w:r>
              <w:rPr>
                <w:webHidden/>
                <w:rStyle w:val="IndexLink"/>
              </w:rPr>
              <w:t>5.1 Слои и компоненты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07_2275915807">
            <w:r>
              <w:rPr>
                <w:webHidden/>
                <w:rStyle w:val="IndexLink"/>
              </w:rPr>
              <w:t>5.2 Ключевые сервисы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09_2275915807">
            <w:r>
              <w:rPr>
                <w:webHidden/>
                <w:rStyle w:val="IndexLink"/>
              </w:rPr>
              <w:t>5.3 Обработка запроса</w:t>
              <w:tab/>
              <w:t>14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211_2275915807">
            <w:r>
              <w:rPr>
                <w:webHidden/>
                <w:rStyle w:val="IndexLink"/>
              </w:rPr>
              <w:t>6 Клиентская часть</w:t>
              <w:tab/>
              <w:t>15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213_2275915807">
            <w:r>
              <w:rPr>
                <w:webHidden/>
                <w:rStyle w:val="IndexLink"/>
              </w:rPr>
              <w:t>7 Модель данных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15_2275915807">
            <w:r>
              <w:rPr>
                <w:webHidden/>
                <w:rStyle w:val="IndexLink"/>
              </w:rPr>
              <w:t>7.1 Организация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17_2275915807">
            <w:r>
              <w:rPr>
                <w:webHidden/>
                <w:rStyle w:val="IndexLink"/>
              </w:rPr>
              <w:t>7.2 Отпуска и режим работы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19_2275915807">
            <w:r>
              <w:rPr>
                <w:webHidden/>
                <w:rStyle w:val="IndexLink"/>
              </w:rPr>
              <w:t>7.3 Служебные данные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21_2275915807">
            <w:r>
              <w:rPr>
                <w:webHidden/>
                <w:rStyle w:val="IndexLink"/>
              </w:rPr>
              <w:t>7.4 Жизненный цикл заявки</w:t>
              <w:tab/>
              <w:t>20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223_2275915807">
            <w:r>
              <w:rPr>
                <w:webHidden/>
                <w:rStyle w:val="IndexLink"/>
              </w:rPr>
              <w:t>8 Ключевые сценарии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25_2275915807">
            <w:r>
              <w:rPr>
                <w:webHidden/>
                <w:rStyle w:val="IndexLink"/>
              </w:rPr>
              <w:t>8.1 Вход и продление сессии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27_2275915807">
            <w:r>
              <w:rPr>
                <w:webHidden/>
                <w:rStyle w:val="IndexLink"/>
              </w:rPr>
              <w:t>8.2 Подача заявки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29_2275915807">
            <w:r>
              <w:rPr>
                <w:webHidden/>
                <w:rStyle w:val="IndexLink"/>
              </w:rPr>
              <w:t>8.3 Согласование и отклонение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31_2275915807">
            <w:r>
              <w:rPr>
                <w:webHidden/>
                <w:rStyle w:val="IndexLink"/>
              </w:rPr>
              <w:t>8.4 Построение графика</w:t>
              <w:tab/>
              <w:t>24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233_2275915807">
            <w:r>
              <w:rPr>
                <w:webHidden/>
                <w:rStyle w:val="IndexLink"/>
              </w:rPr>
              <w:t>9 Безопасность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35_2275915807">
            <w:r>
              <w:rPr>
                <w:webHidden/>
                <w:rStyle w:val="IndexLink"/>
              </w:rPr>
              <w:t>9.1 Аутентификация и сессии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37_2275915807">
            <w:r>
              <w:rPr>
                <w:webHidden/>
                <w:rStyle w:val="IndexLink"/>
              </w:rPr>
              <w:t>9.2 Защита запросов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39_2275915807">
            <w:r>
              <w:rPr>
                <w:webHidden/>
                <w:rStyle w:val="IndexLink"/>
              </w:rPr>
              <w:t>9.3 Модель авторизации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41_2275915807">
            <w:r>
              <w:rPr>
                <w:webHidden/>
                <w:rStyle w:val="IndexLink"/>
              </w:rPr>
              <w:t>9.4 Журналирование и аудит</w:t>
              <w:tab/>
              <w:t>26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243_2275915807">
            <w:r>
              <w:rPr>
                <w:webHidden/>
                <w:rStyle w:val="IndexLink"/>
              </w:rPr>
              <w:t>10 Программный интерфейс</w:t>
              <w:tab/>
              <w:t>27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245_2275915807">
            <w:r>
              <w:rPr>
                <w:webHidden/>
                <w:rStyle w:val="IndexLink"/>
              </w:rPr>
              <w:t>11 Наблюдаемость и эксплуатация</w:t>
              <w:tab/>
              <w:t>28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247_2275915807">
            <w:r>
              <w:rPr>
                <w:webHidden/>
                <w:rStyle w:val="IndexLink"/>
              </w:rPr>
              <w:t>12 Технологический стек</w:t>
              <w:tab/>
              <w:t>29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249_2275915807">
            <w:r>
              <w:rPr>
                <w:webHidden/>
                <w:rStyle w:val="IndexLink"/>
              </w:rPr>
              <w:t>13 Ключевые решения</w:t>
              <w:tab/>
              <w:t>30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251_2275915807">
            <w:r>
              <w:rPr>
                <w:webHidden/>
                <w:rStyle w:val="IndexLink"/>
              </w:rPr>
              <w:t>14 План развития</w:t>
              <w:tab/>
              <w:t>31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4183_2275915807"/>
      <w:bookmarkStart w:id="1" w:name="о-документе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>Документ описывает архитектуру «Планировщика отпусков» версии 0.5.0: назначение и границы системы, состав компонентов и их взаимодействие, модель данных, программный интерфейс, механизмы безопасности, развёртывание, эксплуатацию и план развития. Документ предназначен для архитекторов, разработчиков, инженеров сопровождения и службы информационной безопасности.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Связанный документ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Содержание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 — Ревизия функциональности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Что было в прототипе и что стало целевым составом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 — Спецификация API v1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Протокол, каталог операций и ошибок, матрица прав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 — План развития и бэклог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Версии, эпики и истории с критериями приёмки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 — Модель данных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Сущности, словарь данных, инварианты, миграции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7 — Стенды, CI/CD и выпуск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Окружения, конвейеры, порядок выпуска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11 — SBOM и лицензии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Состав сторонних компонентов для реестра отечественного ПО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Руководство по развёртыванию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Установка, обновление, резервное копирование</w:t>
            </w:r>
          </w:p>
        </w:tc>
      </w:tr>
    </w:tbl>
    <w:p>
      <w:pPr>
        <w:pStyle w:val="BodyText"/>
        <w:rPr/>
      </w:pPr>
      <w:r>
        <w:rPr/>
        <w:t xml:space="preserve">Источники истины, на которые опирается документ: контракт </w:t>
      </w:r>
      <w:r>
        <w:rPr>
          <w:rStyle w:val="VerbatimChar"/>
        </w:rPr>
        <w:t>contracts/openapi-vacation-api-v1.yaml</w:t>
      </w:r>
      <w:r>
        <w:rPr/>
        <w:t xml:space="preserve">, схема </w:t>
      </w:r>
      <w:r>
        <w:rPr>
          <w:rStyle w:val="VerbatimChar"/>
        </w:rPr>
        <w:t>server/prisma/schema.prisma</w:t>
      </w:r>
      <w:r>
        <w:rPr/>
        <w:t xml:space="preserve"> и исходный код ветки </w:t>
      </w:r>
      <w:r>
        <w:rPr>
          <w:rStyle w:val="VerbatimChar"/>
        </w:rPr>
        <w:t>v0.5.0</w:t>
      </w:r>
      <w:r>
        <w:rPr/>
        <w:t xml:space="preserve">. Решения, принятые с обоснованием и альтернативами, — </w:t>
      </w:r>
      <w:r>
        <w:rPr>
          <w:rStyle w:val="VerbatimChar"/>
        </w:rPr>
        <w:t>docs/adr/</w:t>
      </w:r>
      <w:r>
        <w:rPr/>
        <w:t>. Показатели кодовой базы ниже сформированы автоматически (</w:t>
      </w:r>
      <w:r>
        <w:rPr>
          <w:rStyle w:val="VerbatimChar"/>
        </w:rPr>
        <w:t>tools/docs/gen_tables.py</w:t>
      </w:r>
      <w:r>
        <w:rPr/>
        <w:t>), а соответствие контракта и реализации проверяется тестом в CI.</w:t>
      </w:r>
      <w:bookmarkEnd w:id="1"/>
    </w:p>
    <w:p>
      <w:pPr>
        <w:pStyle w:val="Heading1"/>
        <w:rPr/>
      </w:pPr>
      <w:bookmarkStart w:id="2" w:name="__RefHeading___Toc4185_2275915807"/>
      <w:bookmarkEnd w:id="2"/>
      <w:r>
        <w:rPr>
          <w:rStyle w:val="SectionNumber"/>
        </w:rPr>
        <w:t>2</w:t>
      </w:r>
      <w:r>
        <w:rPr/>
        <w:tab/>
        <w:t>Общие сведения</w:t>
      </w:r>
    </w:p>
    <w:p>
      <w:pPr>
        <w:pStyle w:val="Heading2"/>
        <w:rPr/>
      </w:pPr>
      <w:bookmarkStart w:id="3" w:name="__RefHeading___Toc4187_2275915807"/>
      <w:bookmarkStart w:id="4" w:name="назначение-и-класс-системы"/>
      <w:bookmarkEnd w:id="3"/>
      <w:r>
        <w:rPr>
          <w:rStyle w:val="SectionNumber"/>
        </w:rPr>
        <w:t>2.1</w:t>
      </w:r>
      <w:r>
        <w:rPr/>
        <w:tab/>
        <w:t>Назначение и класс системы</w:t>
      </w:r>
    </w:p>
    <w:p>
      <w:pPr>
        <w:pStyle w:val="FirstParagraph"/>
        <w:rPr/>
      </w:pPr>
      <w:r>
        <w:rPr/>
        <w:t>«Планировщик отпусков» — корпоративное веб-приложение для планирования и согласования ежегодных отпусков. Оно ведёт график отпусков всей организации, заявки сотрудников с согласованием руководителем, балансы дней по нормам Трудового кодекса, режим работы офис/удалёнка, аналитику пересечений внутри отделов и неизменяемый журнал всех изменений.</w:t>
      </w:r>
    </w:p>
    <w:p>
      <w:pPr>
        <w:pStyle w:val="BodyText"/>
        <w:rPr/>
      </w:pPr>
      <w:r>
        <w:rPr/>
        <w:t xml:space="preserve">По архитектурному типу это </w:t>
      </w:r>
      <w:r>
        <w:rPr>
          <w:b/>
          <w:bCs/>
        </w:rPr>
        <w:t>клиент-серверное веб-приложение</w:t>
      </w:r>
      <w:r>
        <w:rPr/>
        <w:t>: одностраничный клиент (SPA) и REST API, устанавливаемые на серверы организации (on-premise) в контейнерах Docker. Целевой масштаб — от 1000 до 5000 пользователей.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021840"/>
            <wp:effectExtent l="0" t="0" r="0" b="0"/>
            <wp:docPr id="1" name="Picture" descr="Роли и их возмож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Роли и их возможности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5" w:name="назначение-и-класс-системы"/>
      <w:r>
        <w:rPr/>
        <w:t>Роли и их возможности</w:t>
      </w:r>
      <w:bookmarkEnd w:id="5"/>
    </w:p>
    <w:p>
      <w:pPr>
        <w:pStyle w:val="Heading2"/>
        <w:rPr/>
      </w:pPr>
      <w:bookmarkStart w:id="6" w:name="__RefHeading___Toc4189_2275915807"/>
      <w:bookmarkStart w:id="7" w:name="архитектурные-принципы"/>
      <w:bookmarkEnd w:id="6"/>
      <w:r>
        <w:rPr>
          <w:rStyle w:val="SectionNumber"/>
        </w:rPr>
        <w:t>2.2</w:t>
      </w:r>
      <w:r>
        <w:rPr/>
        <w:tab/>
        <w:t>Архитектурные принципы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Сервер решает, клиент показывает.</w:t>
      </w:r>
      <w:r>
        <w:rPr/>
        <w:t xml:space="preserve"> Правила (конечный автомат заявки, балансы, лимиты, права, конфликты) реализованы только в серверных сервисах. Проверки в клиенте — подсказки для удобства, а не защита.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Контракт прежде кода.</w:t>
      </w:r>
      <w:r>
        <w:rPr/>
        <w:t xml:space="preserve"> REST API v1 описан в </w:t>
      </w:r>
      <w:r>
        <w:rPr>
          <w:rStyle w:val="VerbatimChar"/>
        </w:rPr>
        <w:t>contracts/</w:t>
      </w:r>
      <w:r>
        <w:rPr/>
        <w:t xml:space="preserve"> и меняется через ревью владельца; тест сверки в CI не даёт реализации и контракту разойтись.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Одна операция — одна транзакция.</w:t>
      </w:r>
      <w:r>
        <w:rPr/>
        <w:t xml:space="preserve"> Изменение данных, запись в историю заявки, журнал аудита и уведомления фиксируются в одной транзакции PostgreSQL.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Чистые вычисления отдельно от ввода-вывода.</w:t>
      </w:r>
      <w:r>
        <w:rPr/>
        <w:t xml:space="preserve"> Баланс, интервалы и аналитика пересечений — модули без БД и без «текущего времени»: их проверяют модульные тесты, а дата расчёта передаётся аргументом.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Никаких временных решений.</w:t>
      </w:r>
      <w:r>
        <w:rPr/>
        <w:t xml:space="preserve"> Зрелый стек с первой версии: PostgreSQL, TypeScript strict, контейнеры, миграции, CI с e2e-тестами.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Зависимости — под контролем.</w:t>
      </w:r>
      <w:r>
        <w:rPr/>
        <w:t xml:space="preserve"> Каждая новая библиотека обосновывается в </w:t>
      </w:r>
      <w:r>
        <w:rPr>
          <w:rStyle w:val="VerbatimChar"/>
        </w:rPr>
        <w:t>docs/decisions.md</w:t>
      </w:r>
      <w:r>
        <w:rPr/>
        <w:t xml:space="preserve"> и проходит лицензионный гейт SBOM: copyleft и неизвестные лицензии блокируют слияние.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Секреты — только в окружении.</w:t>
      </w:r>
      <w:r>
        <w:rPr/>
        <w:t xml:space="preserve"> В репозитории нет паролей и ключей; сервер не стартует со слабым </w:t>
      </w:r>
      <w:r>
        <w:rPr>
          <w:rStyle w:val="VerbatimChar"/>
        </w:rPr>
        <w:t>JWT_SECRET</w:t>
      </w:r>
      <w:r>
        <w:rPr/>
        <w:t>.</w:t>
      </w:r>
      <w:bookmarkEnd w:id="7"/>
    </w:p>
    <w:p>
      <w:pPr>
        <w:pStyle w:val="Heading2"/>
        <w:rPr/>
      </w:pPr>
      <w:bookmarkStart w:id="8" w:name="__RefHeading___Toc4191_2275915807"/>
      <w:bookmarkEnd w:id="8"/>
      <w:r>
        <w:rPr>
          <w:rStyle w:val="SectionNumber"/>
        </w:rPr>
        <w:t>2.3</w:t>
      </w:r>
      <w:r>
        <w:rPr/>
        <w:tab/>
        <w:t>Показатели кодовой базы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Показатель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Сервер: файлов TypeScript / строк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63 / 5 600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Сервер: контроллеров / операций API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16 / 58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Модель данных: таблиц / миграций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18 / 8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Клиент: файлов TS и Vue / строк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41 / 10 805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Клиент: экранов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Тесты сервера: файлов / сценариев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18 / 139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Тесты клиента (модульные и e2e): файлов / сценариев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 / 39</w:t>
            </w:r>
            <w:bookmarkStart w:id="9" w:name="общие-сведения"/>
            <w:bookmarkStart w:id="10" w:name="показатели-кодовой-базы"/>
            <w:bookmarkEnd w:id="9"/>
            <w:bookmarkEnd w:id="10"/>
          </w:p>
        </w:tc>
      </w:tr>
    </w:tbl>
    <w:p>
      <w:pPr>
        <w:pStyle w:val="Heading1"/>
        <w:rPr/>
      </w:pPr>
      <w:bookmarkStart w:id="11" w:name="__RefHeading___Toc4193_2275915807"/>
      <w:bookmarkEnd w:id="11"/>
      <w:r>
        <w:rPr>
          <w:rStyle w:val="SectionNumber"/>
        </w:rPr>
        <w:t>3</w:t>
      </w:r>
      <w:r>
        <w:rPr/>
        <w:tab/>
        <w:t>Контекст системы</w:t>
      </w:r>
    </w:p>
    <w:p>
      <w:pPr>
        <w:pStyle w:val="FirstParagraph"/>
        <w:rPr/>
      </w:pPr>
      <w:r>
        <w:rPr/>
        <w:t>Пользователи работают с системой через браузер по HTTPS. Внешние системы организации подключаются через стандартные протоколы: SMTP, OpenID Connect, файлы выгрузки.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762125"/>
            <wp:effectExtent l="0" t="0" r="0" b="0"/>
            <wp:docPr id="2" name="Image2" descr="Диаграмма контекста (уровень 1 C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Диаграмма контекста (уровень 1 C4)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Диаграмма контекста (уровень 1 C4)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Участник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Взаимодействие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Планирует отпуск, подаёт и переносит заявки, смотрит график отдела и свой график работы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Согласует заявки подчинённых, видит пересечения и аналитику отдела, ведёт режим работы команды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Администратор и кадровая служба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Сотрудники, справочники, производственный календарь, правила организации, журнал аудита, выгрузки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Мониторинг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Опрашивает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/healthz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(процесс жив)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/readyz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(доступна БД); Prometheus собирает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/metrics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Почтовый релей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Письма о заявках и еженедельные сводки (SMTP)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Провайдер единого входа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OpenID Connect: Keycloak, ADFS, Blitz Identity и др.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Кадровая система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Выгрузки сотрудников и остатков для импорта (XLSX, CSV, JSON)</w:t>
            </w:r>
          </w:p>
        </w:tc>
      </w:tr>
    </w:tbl>
    <w:p>
      <w:pPr>
        <w:pStyle w:val="Heading1"/>
        <w:rPr/>
      </w:pPr>
      <w:bookmarkStart w:id="12" w:name="__RefHeading___Toc4195_2275915807"/>
      <w:bookmarkEnd w:id="12"/>
      <w:r>
        <w:rPr>
          <w:rStyle w:val="SectionNumber"/>
        </w:rPr>
        <w:t>4</w:t>
      </w:r>
      <w:r>
        <w:rPr/>
        <w:tab/>
        <w:t>Контейнеры и развёртывание</w:t>
      </w:r>
    </w:p>
    <w:p>
      <w:pPr>
        <w:pStyle w:val="Heading2"/>
        <w:rPr/>
      </w:pPr>
      <w:bookmarkStart w:id="13" w:name="__RefHeading___Toc4197_2275915807"/>
      <w:bookmarkStart w:id="14" w:name="состав-контейнеров"/>
      <w:bookmarkEnd w:id="13"/>
      <w:r>
        <w:rPr>
          <w:rStyle w:val="SectionNumber"/>
        </w:rPr>
        <w:t>4.1</w:t>
      </w:r>
      <w:r>
        <w:rPr/>
        <w:tab/>
        <w:t>Состав контейнеров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942840"/>
            <wp:effectExtent l="0" t="0" r="0" b="0"/>
            <wp:docPr id="3" name="Image3" descr="Диаграмма контейнеров (уровень 2 C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Диаграмма контейнеров (уровень 2 C4)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Диаграмма контейнеров (уровень 2 C4)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Контейнер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Образ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nginx 1.27 + статическая сборка Vite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Отдаёт SPA с CSP и заголовками безопасности, кеширует хешированные ассеты, проксирует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server:8080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X-Forwarded-For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поток событий — без буферизации; адрес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разрешается заново каждые 10 с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Node.js 20, NestJS 11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REST API v1, бизнес-логика, поток событий, метрики;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WEB_CONCURRENCY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процессов; миграции Prisma при старте контейнера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PostgreSQL 17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Все данные; том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db-data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postgres:17-alpine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pg_dump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по расписанию (по умолчанию раз в сутки), ротация копий 14 дней; том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db-backups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postgres-replica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PostgreSQL 17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Горячий резерв: потоковая репликация по слоту, чтение; при аварии повышается до основного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docker-compose.replica.yml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basebackup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postgres:17-alpine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Ежедневные физические копии и очистка архива WAL — восстановление на момент времени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docker-compose.replica.yml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prometheus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Prometheus 3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Сбор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/metrics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правила оповещений (профиль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monitoring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); панель — в Grafana организации</w:t>
            </w:r>
          </w:p>
        </w:tc>
      </w:tr>
    </w:tbl>
    <w:p>
      <w:pPr>
        <w:pStyle w:val="BodyText"/>
        <w:rPr/>
      </w:pPr>
      <w:bookmarkStart w:id="15" w:name="состав-контейнеров"/>
      <w:r>
        <w:rPr/>
        <w:t>Перед стендом ставится обратный прокси организации с TLS (nginx или Caddy). Состояние сессий в сервере не хранится: access-токен — JWT, refresh-токены — в таблице PostgreSQL. Всё общее для процессов и экземпляров — лимит входа, версия данных графика, очередь писем, отметки фоновых задач — тоже в PostgreSQL (ADR-012), поэтому сервер масштабируется процессами и экземплярами без «липких» сессий и без отдельного хранилища.</w:t>
      </w:r>
      <w:bookmarkEnd w:id="15"/>
    </w:p>
    <w:p>
      <w:pPr>
        <w:pStyle w:val="Heading2"/>
        <w:rPr/>
      </w:pPr>
      <w:bookmarkStart w:id="16" w:name="__RefHeading___Toc4199_2275915807"/>
      <w:bookmarkStart w:id="17" w:name="поставка-и-окружения"/>
      <w:bookmarkEnd w:id="16"/>
      <w:r>
        <w:rPr>
          <w:rStyle w:val="SectionNumber"/>
        </w:rPr>
        <w:t>4.2</w:t>
      </w:r>
      <w:r>
        <w:rPr/>
        <w:tab/>
        <w:t>Поставка и окружения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310005"/>
            <wp:effectExtent l="0" t="0" r="0" b="0"/>
            <wp:docPr id="4" name="Image4" descr="Поставка: от рабочего места до стен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Поставка: от рабочего места до стенда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Поставка: от рабочего места до стенда</w:t>
      </w:r>
    </w:p>
    <w:p>
      <w:pPr>
        <w:pStyle w:val="BodyText"/>
        <w:rPr/>
      </w:pPr>
      <w:r>
        <w:rPr/>
        <w:t xml:space="preserve">Код ведётся в двух репозиториях-зеркалах: GitHub (публичный) и Gitea организации. Оба запускают одинаковый набор проверок; в Gitea после зелёных проверок раннер </w:t>
      </w:r>
      <w:r>
        <w:rPr>
          <w:rStyle w:val="VerbatimChar"/>
        </w:rPr>
        <w:t>deploy</w:t>
      </w:r>
      <w:r>
        <w:rPr/>
        <w:t xml:space="preserve"> разворачивает стенд (</w:t>
      </w:r>
      <w:r>
        <w:rPr>
          <w:rStyle w:val="VerbatimChar"/>
        </w:rPr>
        <w:t>docker compose -p vacation-planner up -d --build</w:t>
      </w:r>
      <w:r>
        <w:rPr/>
        <w:t>) и выполняет дымовые пробы. Подробно — документ 7.</w:t>
      </w:r>
      <w:bookmarkEnd w:id="17"/>
    </w:p>
    <w:p>
      <w:pPr>
        <w:pStyle w:val="Heading2"/>
        <w:rPr/>
      </w:pPr>
      <w:bookmarkStart w:id="18" w:name="__RefHeading___Toc4201_2275915807"/>
      <w:bookmarkEnd w:id="18"/>
      <w:r>
        <w:rPr>
          <w:rStyle w:val="SectionNumber"/>
        </w:rPr>
        <w:t>4.3</w:t>
      </w:r>
      <w:r>
        <w:rPr/>
        <w:tab/>
        <w:t>Масштабирование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Нагрузка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Решение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 1000 пользователей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Один сервер: 2 vCPU, 4 ГБ ОЗУ, PostgreSQL в том же compose,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WEB_CONCURRENCY=auto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 5000 пользователей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4 vCPU и 8 ГБ ОЗУ под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PostgreSQL — на отдельном узле или с репликой; при необходимости второй экземпляр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за балансировщиком. Проверено нагрузкой: 500 одновременных пользователей при 5000 в базе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docs/progress/load-v0.5.0.md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Пики начала дня (×5)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Ответ графика кэшируется по версии данных (ETag,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304 Not Modified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); тяжёлые чтения ограничены периодом и фильтром по отделу; выгрузка XLSX пишется потоком и уступает процессор другим запросам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Механизм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Зачем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Кластер процессов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WEB_CONCURRENCY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Node.js обслуживает запросы одним ядром; главный процесс запускает по процессу на ядро и перезапускает упавшие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Асинхронный scrypt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Хеширование пароля — в пуле потоков libuv: 100 мс расчёта не останавливают остальные запросы процесса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Пул соединений на процесс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min(10, 40 / процессов), не меньше 3: процессы одного экземпляра держат не больше ~40 соединений с БД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Версия данных графика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Отложенные триггеры таблиц графика увеличивают счётчик при фиксации, один раз за транзакцию (16 строк — без конкуренции за одну); ответ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/schedule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кэшируется по версии и отдаётся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304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по ETag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Лимит входа в PostgreSQL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Окна по минутам в нежурналируемой таблице: одинаковый лимит при любом числе процессов и экземпляров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Поток событий вместо опроса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Уведомления и «данные изменились» приходят по SSE; процесс опрашивает БД одним запросом раз в 2 с на всех своих подключённых (ADR-013)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Виртуальный список графика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Браузер рисует только видимые строки: 5000 сотрудников — 1,8 тыс. узлов DOM вместо 65 тыс.</w:t>
            </w:r>
            <w:bookmarkStart w:id="19" w:name="масштабирование"/>
            <w:bookmarkEnd w:id="19"/>
          </w:p>
        </w:tc>
      </w:tr>
    </w:tbl>
    <w:p>
      <w:pPr>
        <w:pStyle w:val="Heading1"/>
        <w:rPr/>
      </w:pPr>
      <w:bookmarkStart w:id="20" w:name="__RefHeading___Toc4203_2275915807"/>
      <w:bookmarkEnd w:id="20"/>
      <w:r>
        <w:rPr>
          <w:rStyle w:val="SectionNumber"/>
        </w:rPr>
        <w:t>5</w:t>
      </w:r>
      <w:r>
        <w:rPr/>
        <w:tab/>
        <w:t>Серверная часть</w:t>
      </w:r>
    </w:p>
    <w:p>
      <w:pPr>
        <w:pStyle w:val="Heading2"/>
        <w:rPr/>
      </w:pPr>
      <w:bookmarkStart w:id="21" w:name="__RefHeading___Toc4205_2275915807"/>
      <w:bookmarkEnd w:id="21"/>
      <w:r>
        <w:rPr>
          <w:rStyle w:val="SectionNumber"/>
        </w:rPr>
        <w:t>5.1</w:t>
      </w:r>
      <w:r>
        <w:rPr/>
        <w:tab/>
        <w:t>Слои и компоненты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539490"/>
            <wp:effectExtent l="0" t="0" r="0" b="0"/>
            <wp:docPr id="5" name="Image5" descr="Слои сервера (уровень 3 C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Слои сервера (уровень 3 C4)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Слои сервера (уровень 3 C4)</w:t>
      </w:r>
    </w:p>
    <w:p>
      <w:pPr>
        <w:pStyle w:val="BodyText"/>
        <w:rPr/>
      </w:pPr>
      <w:r>
        <w:rPr/>
        <w:t xml:space="preserve">Сервер — модульный монолит NestJS: каждый домен в каталоге </w:t>
      </w:r>
      <w:r>
        <w:rPr>
          <w:rStyle w:val="VerbatimChar"/>
        </w:rPr>
        <w:t>server/src/&lt;домен&gt;/</w:t>
      </w:r>
      <w:r>
        <w:rPr/>
        <w:t xml:space="preserve"> содержит тонкий контроллер (DTO-валидация, вызов сервиса) и сервис с логикой.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Модуль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Ответственность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Вход по паролю и через единый вход OIDC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oidc.ts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), выход, обновление и смена пароля, личные настройки;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TokenService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(JWT HS256), глобальные guards, ограничение частоты входа;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access.ts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служебные роли (администратор, кадровая служба)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app.setup.ts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Общая настройка HTTP: trust proxy, cookie, заголовки, валидация — одна для продакшена и тестов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Сотрудники, логины и одноразовые пароли, балансы, режим работы (шаблон и исключения)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requests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Заявки: конечный автомат, пересечения, лимиты, перенос и удаление;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balance.ts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чистые функции баланса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schedule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отпусков за период с конфликтами отделов: сборка простым SQL, кэш по версии данных, ETag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events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Поток событий (SSE): билеты, подключения, опрос новых уведомлений и версии данных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analytics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Нагрузка отделов, периоды конфликтов, выводы руководителю, подбор дат;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coverage.ts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чистые функции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directories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Отделы, проекты, личные группы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calendar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Производственный календарь: праздники ст. 112 и переносы выходных; правка кадровой службой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imports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Импорт сотрудников и остатков из XLSX/CSV и JSON;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plan.ts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чистая функция плана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mail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Письма о заявках (outbox в транзакции события), фоновая отправка с повторами, еженедельная сводка руководителям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settings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Правила организации: порог конфликта, политика лимита, норма дней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notifications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Уведомления в интерфейсе и постановка писем в очередь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audit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Неизменяемый журнал; запись только внутри транзакции изменения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reports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Выгрузка отпусков в XLSX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health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Пробы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/healthz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/readyz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метрики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/metrics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infra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PrismaService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ProblemException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фильтр RFC 9457;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metrics.ts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реестр метрик и сложение процессов кластера;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concurrency.ts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число процессов и пул;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data-version.ts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версия данных и кэш ответов</w:t>
            </w:r>
            <w:bookmarkStart w:id="22" w:name="слои-и-компоненты"/>
            <w:bookmarkEnd w:id="22"/>
          </w:p>
        </w:tc>
      </w:tr>
    </w:tbl>
    <w:p>
      <w:pPr>
        <w:pStyle w:val="Heading2"/>
        <w:rPr/>
      </w:pPr>
      <w:bookmarkStart w:id="23" w:name="__RefHeading___Toc4207_2275915807"/>
      <w:bookmarkEnd w:id="23"/>
      <w:r>
        <w:rPr>
          <w:rStyle w:val="SectionNumber"/>
        </w:rPr>
        <w:t>5.2</w:t>
      </w:r>
      <w:r>
        <w:rPr/>
        <w:tab/>
        <w:t>Ключевые сервисы</w:t>
      </w:r>
    </w:p>
    <w:p>
      <w:pPr>
        <w:pStyle w:val="FirstParagraph"/>
        <w:rPr/>
      </w:pPr>
      <w:r>
        <w:rPr>
          <w:b/>
          <w:bCs/>
        </w:rPr>
        <w:t>RequestsService</w:t>
      </w:r>
      <w:r>
        <w:rPr/>
        <w:t xml:space="preserve"> реализует жизненный цикл заявки. Создание проверяет права (за себя, за подчинённого, администратор), даты (формат, порядок, не в прошлом), пересечения с собственными заявками и лимит дней. Заявка, оформленная руководителем за подчинённого, сразу согласована. Перенос согласованного отпуска переводит заявку на согласование с сохранением прежних дат в </w:t>
      </w:r>
      <w:r>
        <w:rPr>
          <w:rStyle w:val="VerbatimChar"/>
        </w:rPr>
        <w:t>change_from_*</w:t>
      </w:r>
      <w:r>
        <w:rPr/>
        <w:t xml:space="preserve">; отклонение переноса возвращает прежние даты. Запрос удаления помечает заявку </w:t>
      </w:r>
      <w:r>
        <w:rPr>
          <w:rStyle w:val="VerbatimChar"/>
        </w:rPr>
        <w:t>pending_deletion</w:t>
      </w:r>
      <w:r>
        <w:rPr/>
        <w:t>; согласование удаляет её, а событие остаётся в истории и аудите.</w:t>
      </w:r>
    </w:p>
    <w:p>
      <w:pPr>
        <w:pStyle w:val="BodyText"/>
        <w:rPr/>
      </w:pPr>
      <w:r>
        <w:rPr>
          <w:b/>
          <w:bCs/>
        </w:rPr>
        <w:t>Баланс</w:t>
      </w:r>
      <w:r>
        <w:rPr/>
        <w:t xml:space="preserve"> считается по правилам ТК РФ: праздничные нерабочие дни внутри отпуска не входят в число дней отпуска (ст. 120), одна из частей должна быть не короче 14 календарных дней (ст. 125). Доступно для планирования = норма + перенос − согласованные дни − дни на согласовании. При жёсткой политике лимита сервер отклоняет заявку сверх доступного (</w:t>
      </w:r>
      <w:r>
        <w:rPr>
          <w:rStyle w:val="VerbatimChar"/>
        </w:rPr>
        <w:t>409 limit-exceeded</w:t>
      </w:r>
      <w:r>
        <w:rPr/>
        <w:t>).</w:t>
      </w:r>
    </w:p>
    <w:p>
      <w:pPr>
        <w:pStyle w:val="BodyText"/>
        <w:rPr/>
      </w:pPr>
      <w:r>
        <w:rPr>
          <w:b/>
          <w:bCs/>
        </w:rPr>
        <w:t>AnalyticsService</w:t>
      </w:r>
      <w:r>
        <w:rPr/>
        <w:t xml:space="preserve"> строит аналитику отдела на чистых функциях </w:t>
      </w:r>
      <w:r>
        <w:rPr>
          <w:rStyle w:val="VerbatimChar"/>
        </w:rPr>
        <w:t>coverage.ts</w:t>
      </w:r>
      <w:r>
        <w:rPr/>
        <w:t>:</w:t>
      </w:r>
    </w:p>
    <w:p>
      <w:pPr>
        <w:pStyle w:val="Compact"/>
        <w:numPr>
          <w:ilvl w:val="0"/>
          <w:numId w:val="2"/>
        </w:numPr>
        <w:rPr/>
      </w:pPr>
      <w:r>
        <w:rPr/>
        <w:t>доля отдела в отпуске по месяцам (только рабочие дни; отдельно — с учётом заявок на согласовании);</w:t>
      </w:r>
    </w:p>
    <w:p>
      <w:pPr>
        <w:pStyle w:val="Compact"/>
        <w:numPr>
          <w:ilvl w:val="0"/>
          <w:numId w:val="2"/>
        </w:numPr>
        <w:rPr/>
      </w:pPr>
      <w:r>
        <w:rPr/>
        <w:t>периоды конфликтов, когда в отпуске не меньше порога отдела (выходные не разрывают период);</w:t>
      </w:r>
    </w:p>
    <w:p>
      <w:pPr>
        <w:pStyle w:val="Compact"/>
        <w:numPr>
          <w:ilvl w:val="0"/>
          <w:numId w:val="2"/>
        </w:numPr>
        <w:rPr/>
      </w:pPr>
      <w:r>
        <w:rPr/>
        <w:t>выводы руководителю: ближайшие конфликты, пиковый и самый спокойный месяц, нераспределённые дни, сотрудники без части в 14 дней, риски малочисленного отдела;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подбор дат</w:t>
      </w:r>
      <w:r>
        <w:rPr/>
        <w:t>: для заданной длины отпуска перебираются окна периода поиска; окно продлевается на праздники, окна с превышением порога и пересечением с собственными отпусками исключаются, остальные ранжируются по нагрузке на отдел, бонусу за праздники внутри и старту в понедельник; выдаётся до пяти непересекающихся вариантов с объяснением.</w:t>
      </w:r>
    </w:p>
    <w:p>
      <w:pPr>
        <w:pStyle w:val="FirstParagraph"/>
        <w:rPr/>
      </w:pPr>
      <w:r>
        <w:rPr>
          <w:b/>
          <w:bCs/>
        </w:rPr>
        <w:t>ImportsService</w:t>
      </w:r>
      <w:r>
        <w:rPr/>
        <w:t xml:space="preserve"> строит план импорта той же чистой функцией для предпросмотра и применения: строка сопоставляется с сотрудником по логину, без логина — по ФИО; новые сотрудники получают логин транслитом, новые отделы создаются, руководитель может быть создан этим же файлом. Пустая ячейка значение не меняет, поэтому повторная загрузка того же файла ничего не меняет. Применение — одна транзакция с аудитом каждой записи и только при отсутствии ошибок в плане.</w:t>
      </w:r>
    </w:p>
    <w:p>
      <w:pPr>
        <w:pStyle w:val="BodyText"/>
        <w:rPr/>
      </w:pPr>
      <w:r>
        <w:rPr>
          <w:b/>
          <w:bCs/>
        </w:rPr>
        <w:t>MailService</w:t>
      </w:r>
      <w:r>
        <w:rPr/>
        <w:t xml:space="preserve"> реализует шаблон outbox: письмо пишется в таблицу </w:t>
      </w:r>
      <w:r>
        <w:rPr>
          <w:rStyle w:val="VerbatimChar"/>
        </w:rPr>
        <w:t>email_outbox</w:t>
      </w:r>
      <w:r>
        <w:rPr/>
        <w:t xml:space="preserve"> в той же транзакции, что и уведомление, и отправляется фоном. Письма разбираются с </w:t>
      </w:r>
      <w:r>
        <w:rPr>
          <w:rStyle w:val="VerbatimChar"/>
        </w:rPr>
        <w:t>FOR UPDATE SKIP LOCKED</w:t>
      </w:r>
      <w:r>
        <w:rPr/>
        <w:t xml:space="preserve"> и арендой на 5 минут, поэтому несколько экземпляров сервера не отправят письмо дважды, а упавший процесс не удерживает его. Неудачная отправка повторяется через 1, 5, 30 минут, 2 и 12 часов. Еженедельная сводка запускается один раз за неделю — по строке </w:t>
      </w:r>
      <w:r>
        <w:rPr>
          <w:rStyle w:val="VerbatimChar"/>
        </w:rPr>
        <w:t>job_runs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ScheduleService</w:t>
      </w:r>
      <w:r>
        <w:rPr/>
        <w:t xml:space="preserve"> собирает график четырьмя запросами SQL (сотрудники, отпуска, шаблоны и исключения режима работы) и считает конфликты отделов счётчиками по дням. Контроллер сначала читает версию данных, затем данные: так версия не может опередить данные. Готовый ответ кэшируется в памяти процесса (до 64 МБ) по ключу «версия + параметры»; запрос с </w:t>
      </w:r>
      <w:r>
        <w:rPr>
          <w:rStyle w:val="VerbatimChar"/>
        </w:rPr>
        <w:t>If-None-Match</w:t>
      </w:r>
      <w:r>
        <w:rPr/>
        <w:t xml:space="preserve"> текущей версии получает </w:t>
      </w:r>
      <w:r>
        <w:rPr>
          <w:rStyle w:val="VerbatimChar"/>
        </w:rPr>
        <w:t>304</w:t>
      </w:r>
      <w:r>
        <w:rPr/>
        <w:t xml:space="preserve"> без тела.</w:t>
      </w:r>
    </w:p>
    <w:p>
      <w:pPr>
        <w:pStyle w:val="BodyText"/>
        <w:rPr/>
      </w:pPr>
      <w:r>
        <w:rPr>
          <w:b/>
          <w:bCs/>
        </w:rPr>
        <w:t>EventsService</w:t>
      </w:r>
      <w:r>
        <w:rPr/>
        <w:t xml:space="preserve"> держит открытые потоки SSE. Раз в 2 секунды процесс одним запросом находит новые уведомления своих подключённых сотрудников и проверяет версию данных; сотрудник получает </w:t>
      </w:r>
      <w:r>
        <w:rPr>
          <w:rStyle w:val="VerbatimChar"/>
        </w:rPr>
        <w:t>notifications</w:t>
      </w:r>
      <w:r>
        <w:rPr/>
        <w:t xml:space="preserve"> с числом непрочитанных, все — </w:t>
      </w:r>
      <w:r>
        <w:rPr>
          <w:rStyle w:val="VerbatimChar"/>
        </w:rPr>
        <w:t>data</w:t>
      </w:r>
      <w:r>
        <w:rPr/>
        <w:t xml:space="preserve"> при изменении графика (не чаще раза в 15 с). Каждые 25 секунд — пустой комментарий, чтобы прокси не закрыл простаивающее соединение.</w:t>
      </w:r>
    </w:p>
    <w:p>
      <w:pPr>
        <w:pStyle w:val="Heading2"/>
        <w:rPr/>
      </w:pPr>
      <w:bookmarkStart w:id="24" w:name="__RefHeading___Toc4209_2275915807"/>
      <w:bookmarkStart w:id="25" w:name="обработка-запроса"/>
      <w:bookmarkEnd w:id="24"/>
      <w:r>
        <w:rPr>
          <w:rStyle w:val="SectionNumber"/>
        </w:rPr>
        <w:t>5.3</w:t>
      </w:r>
      <w:r>
        <w:rPr/>
        <w:tab/>
        <w:t>Обработка запроса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135380"/>
            <wp:effectExtent l="0" t="0" r="0" b="0"/>
            <wp:docPr id="6" name="Image6" descr="Маршрут запроса через защиту и валидаци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Маршрут запроса через защиту и валидацию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Маршрут запроса через защиту и валидацию</w:t>
      </w:r>
    </w:p>
    <w:p>
      <w:pPr>
        <w:pStyle w:val="BodyText"/>
        <w:rPr/>
      </w:pPr>
      <w:r>
        <w:rPr/>
        <w:t xml:space="preserve">Каждый запрос </w:t>
      </w:r>
      <w:r>
        <w:rPr>
          <w:rStyle w:val="VerbatimChar"/>
        </w:rPr>
        <w:t>/api/v1/*</w:t>
      </w:r>
      <w:r>
        <w:rPr/>
        <w:t xml:space="preserve"> проходит ограничение частоты (для входа), глобальную аутентификацию (кроме маршрутов </w:t>
      </w:r>
      <w:r>
        <w:rPr>
          <w:rStyle w:val="VerbatimChar"/>
        </w:rPr>
        <w:t>@Public()</w:t>
      </w:r>
      <w:r>
        <w:rPr/>
        <w:t xml:space="preserve">), сверку версии пароля в токене и активности сотрудника (смена пароля или увольнение отзывает все выданные токены; процесс помнит результат проверки 10 секунд и сбрасывает его сразу, если изменение прошло через него), проверку роли и DTO-валидацию с </w:t>
      </w:r>
      <w:r>
        <w:rPr>
          <w:rStyle w:val="VerbatimChar"/>
        </w:rPr>
        <w:t>whitelist</w:t>
      </w:r>
      <w:r>
        <w:rPr/>
        <w:t xml:space="preserve">. Права на конкретный объект (своя заявка, подчинённый) проверяет сервис. Ошибка любого уровня возвращается как </w:t>
      </w:r>
      <w:r>
        <w:rPr>
          <w:rStyle w:val="VerbatimChar"/>
        </w:rPr>
        <w:t>application/problem+json</w:t>
      </w:r>
      <w:r>
        <w:rPr/>
        <w:t xml:space="preserve"> с кодом из каталога (документ 2).</w:t>
      </w:r>
      <w:bookmarkEnd w:id="25"/>
    </w:p>
    <w:p>
      <w:pPr>
        <w:pStyle w:val="Heading1"/>
        <w:rPr/>
      </w:pPr>
      <w:bookmarkStart w:id="26" w:name="__RefHeading___Toc4211_2275915807"/>
      <w:bookmarkStart w:id="27" w:name="клиентская-часть"/>
      <w:bookmarkEnd w:id="26"/>
      <w:r>
        <w:rPr>
          <w:rStyle w:val="SectionNumber"/>
        </w:rPr>
        <w:t>6</w:t>
      </w:r>
      <w:r>
        <w:rPr/>
        <w:tab/>
        <w:t>Клиентская часть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337435"/>
            <wp:effectExtent l="0" t="0" r="0" b="0"/>
            <wp:docPr id="7" name="Image7" descr="Слои клие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Слои клиента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Слои клиента</w:t>
      </w:r>
    </w:p>
    <w:p>
      <w:pPr>
        <w:pStyle w:val="BodyText"/>
        <w:rPr/>
      </w:pPr>
      <w:r>
        <w:rPr/>
        <w:t xml:space="preserve">Клиент — Vue 3 + TypeScript strict + Vite + Pinia без сторонних UI-библиотек: дизайн-система (токены, иконки, паттерны) общая с внутренними продуктами todo-planner и almi_license. Единственный модуль, обращающийся к сети, — </w:t>
      </w:r>
      <w:r>
        <w:rPr>
          <w:rStyle w:val="VerbatimChar"/>
        </w:rPr>
        <w:t>web/src/api/client.ts</w:t>
      </w:r>
      <w:r>
        <w:rPr/>
        <w:t xml:space="preserve">: он добавляет Bearer-токен, при </w:t>
      </w:r>
      <w:r>
        <w:rPr>
          <w:rStyle w:val="VerbatimChar"/>
        </w:rPr>
        <w:t>401</w:t>
      </w:r>
      <w:r>
        <w:rPr/>
        <w:t xml:space="preserve"> один раз обновляет его по httpOnly-cookie (параллельные запросы ждут общий результат обновления, иначе ротация отозвала бы токен) и превращает problem+json в </w:t>
      </w:r>
      <w:r>
        <w:rPr>
          <w:rStyle w:val="VerbatimChar"/>
        </w:rPr>
        <w:t>ApiError</w:t>
      </w:r>
      <w:r>
        <w:rPr/>
        <w:t>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Экран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отпусков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Гант года: масштабы год/квартал/месяц, группы отделов, выходные и праздники, линия «сегодня», полоса нагрузки, слой удалёнки, сравнение выбранных сотрудников, выгрузка в Excel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Мой отпуск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Баланс с разбивкой, ближайший отпуск, год одним взглядом, заявка с подбором дат, перенос и отмена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Команда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Кто сегодня в офисе, на удалёнке, в отпуске; аналитика года: выводы, нагрузка по месяцам, конфликты, распределение дней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работы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Недельный шаблон офис/удалёнка и разовые исключения на календаре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Очередь согласования с пересечениями в отделе, отклонение с причиной, оформление отпуска за подчинённого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Администрирование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Сотрудники, справочники и производственный календарь, правила организации, журнал аудита</w:t>
            </w:r>
          </w:p>
        </w:tc>
      </w:tr>
    </w:tbl>
    <w:p>
      <w:pPr>
        <w:pStyle w:val="BodyText"/>
        <w:rPr/>
      </w:pPr>
      <w:bookmarkStart w:id="28" w:name="клиентская-часть"/>
      <w:r>
        <w:rPr/>
        <w:t>Тема оформления — светлая, тёмная или по настройке системы; интерфейс адаптирован до ширины 360 px.</w:t>
      </w:r>
      <w:bookmarkEnd w:id="28"/>
    </w:p>
    <w:p>
      <w:pPr>
        <w:pStyle w:val="Heading1"/>
        <w:rPr/>
      </w:pPr>
      <w:bookmarkStart w:id="29" w:name="__RefHeading___Toc4213_2275915807"/>
      <w:bookmarkStart w:id="30" w:name="модель-данных"/>
      <w:bookmarkEnd w:id="29"/>
      <w:r>
        <w:rPr>
          <w:rStyle w:val="SectionNumber"/>
        </w:rPr>
        <w:t>7</w:t>
      </w:r>
      <w:r>
        <w:rPr/>
        <w:tab/>
        <w:t>Модель данных</w:t>
      </w:r>
    </w:p>
    <w:p>
      <w:pPr>
        <w:pStyle w:val="FirstParagraph"/>
        <w:rPr/>
      </w:pPr>
      <w:r>
        <w:rPr/>
        <w:t xml:space="preserve">Схема описана в </w:t>
      </w:r>
      <w:r>
        <w:rPr>
          <w:rStyle w:val="VerbatimChar"/>
        </w:rPr>
        <w:t>server/prisma/schema.prisma</w:t>
      </w:r>
      <w:r>
        <w:rPr/>
        <w:t xml:space="preserve"> (18 таблиц PostgreSQL); полный словарь данных и инварианты — документ 4.</w:t>
      </w:r>
    </w:p>
    <w:p>
      <w:pPr>
        <w:pStyle w:val="Heading2"/>
        <w:rPr/>
      </w:pPr>
      <w:bookmarkStart w:id="31" w:name="__RefHeading___Toc4215_2275915807"/>
      <w:bookmarkStart w:id="32" w:name="организация"/>
      <w:bookmarkEnd w:id="31"/>
      <w:r>
        <w:rPr>
          <w:rStyle w:val="SectionNumber"/>
        </w:rPr>
        <w:t>7.1</w:t>
      </w:r>
      <w:r>
        <w:rPr/>
        <w:tab/>
        <w:t>Организация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8554720"/>
            <wp:effectExtent l="0" t="0" r="0" b="0"/>
            <wp:docPr id="8" name="Image8" descr="ER: сотрудники, отделы, проекты, групп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ER: сотрудники, отделы, проекты, группы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5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3" w:name="организация"/>
      <w:r>
        <w:rPr/>
        <w:t>ER: сотрудники, отделы, проекты, группы</w:t>
      </w:r>
      <w:bookmarkEnd w:id="33"/>
    </w:p>
    <w:p>
      <w:pPr>
        <w:pStyle w:val="Heading2"/>
        <w:rPr/>
      </w:pPr>
      <w:bookmarkStart w:id="34" w:name="__RefHeading___Toc4217_2275915807"/>
      <w:bookmarkStart w:id="35" w:name="отпуска-и-режим-работы"/>
      <w:bookmarkEnd w:id="34"/>
      <w:r>
        <w:rPr>
          <w:rStyle w:val="SectionNumber"/>
        </w:rPr>
        <w:t>7.2</w:t>
      </w:r>
      <w:r>
        <w:rPr/>
        <w:tab/>
        <w:t>Отпуска и режим работы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03880"/>
            <wp:effectExtent l="0" t="0" r="0" b="0"/>
            <wp:docPr id="9" name="Image9" descr="ER: заявки, история, уведомления, режим рабо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ER: заявки, история, уведомления, режим работы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6" w:name="отпуска-и-режим-работы"/>
      <w:r>
        <w:rPr/>
        <w:t>ER: заявки, история, уведомления, режим работы</w:t>
      </w:r>
      <w:bookmarkEnd w:id="36"/>
    </w:p>
    <w:p>
      <w:pPr>
        <w:pStyle w:val="Heading2"/>
        <w:rPr/>
      </w:pPr>
      <w:bookmarkStart w:id="37" w:name="__RefHeading___Toc4219_2275915807"/>
      <w:bookmarkStart w:id="38" w:name="служебные-данные"/>
      <w:bookmarkEnd w:id="37"/>
      <w:r>
        <w:rPr>
          <w:rStyle w:val="SectionNumber"/>
        </w:rPr>
        <w:t>7.3</w:t>
      </w:r>
      <w:r>
        <w:rPr/>
        <w:tab/>
        <w:t>Служебные данные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848485"/>
            <wp:effectExtent l="0" t="0" r="0" b="0"/>
            <wp:docPr id="10" name="Image10" descr="ER: аудит, сессии, настройки, календар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ER: аудит, сессии, настройки, календарь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9" w:name="служебные-данные"/>
      <w:r>
        <w:rPr/>
        <w:t>ER: аудит, сессии, настройки, календарь</w:t>
      </w:r>
      <w:bookmarkEnd w:id="39"/>
    </w:p>
    <w:p>
      <w:pPr>
        <w:pStyle w:val="Heading2"/>
        <w:rPr/>
      </w:pPr>
      <w:bookmarkStart w:id="40" w:name="__RefHeading___Toc4221_2275915807"/>
      <w:bookmarkStart w:id="41" w:name="жизненный-цикл-заявки"/>
      <w:bookmarkEnd w:id="40"/>
      <w:r>
        <w:rPr>
          <w:rStyle w:val="SectionNumber"/>
        </w:rPr>
        <w:t>7.4</w:t>
      </w:r>
      <w:r>
        <w:rPr/>
        <w:tab/>
        <w:t>Жизненный цикл заявки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489325"/>
            <wp:effectExtent l="0" t="0" r="0" b="0"/>
            <wp:docPr id="11" name="Image11" descr="Состояния зая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Состояния заявки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42" w:name="модель-данных"/>
      <w:bookmarkStart w:id="43" w:name="жизненный-цикл-заявки"/>
      <w:r>
        <w:rPr/>
        <w:t>Состояния заявки</w:t>
      </w:r>
      <w:bookmarkEnd w:id="42"/>
      <w:bookmarkEnd w:id="43"/>
    </w:p>
    <w:p>
      <w:pPr>
        <w:pStyle w:val="Heading1"/>
        <w:rPr/>
      </w:pPr>
      <w:bookmarkStart w:id="44" w:name="__RefHeading___Toc4223_2275915807"/>
      <w:bookmarkStart w:id="45" w:name="ключевые-сценарии"/>
      <w:bookmarkEnd w:id="44"/>
      <w:r>
        <w:rPr>
          <w:rStyle w:val="SectionNumber"/>
        </w:rPr>
        <w:t>8</w:t>
      </w:r>
      <w:r>
        <w:rPr/>
        <w:tab/>
        <w:t>Ключевые сценарии</w:t>
      </w:r>
    </w:p>
    <w:p>
      <w:pPr>
        <w:pStyle w:val="Heading2"/>
        <w:rPr/>
      </w:pPr>
      <w:bookmarkStart w:id="46" w:name="__RefHeading___Toc4225_2275915807"/>
      <w:bookmarkStart w:id="47" w:name="вход-и-продление-сессии"/>
      <w:bookmarkEnd w:id="46"/>
      <w:r>
        <w:rPr>
          <w:rStyle w:val="SectionNumber"/>
        </w:rPr>
        <w:t>8.1</w:t>
      </w:r>
      <w:r>
        <w:rPr/>
        <w:tab/>
        <w:t>Вход и продление сессии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933315"/>
            <wp:effectExtent l="0" t="0" r="0" b="0"/>
            <wp:docPr id="12" name="Image12" descr="Последовательность входа и обновления токе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Последовательность входа и обновления токена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48" w:name="вход-и-продление-сессии"/>
      <w:r>
        <w:rPr/>
        <w:t>Последовательность входа и обновления токена</w:t>
      </w:r>
      <w:bookmarkEnd w:id="48"/>
    </w:p>
    <w:p>
      <w:pPr>
        <w:pStyle w:val="Heading2"/>
        <w:rPr/>
      </w:pPr>
      <w:bookmarkStart w:id="49" w:name="__RefHeading___Toc4227_2275915807"/>
      <w:bookmarkStart w:id="50" w:name="подача-заявки"/>
      <w:bookmarkEnd w:id="49"/>
      <w:r>
        <w:rPr>
          <w:rStyle w:val="SectionNumber"/>
        </w:rPr>
        <w:t>8.2</w:t>
      </w:r>
      <w:r>
        <w:rPr/>
        <w:tab/>
        <w:t>Подача заявки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330700"/>
            <wp:effectExtent l="0" t="0" r="0" b="0"/>
            <wp:docPr id="13" name="Image13" descr="Создание заявки: проверки и транзак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Создание заявки: проверки и транзакция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51" w:name="подача-заявки"/>
      <w:r>
        <w:rPr/>
        <w:t>Создание заявки: проверки и транзакция</w:t>
      </w:r>
      <w:bookmarkEnd w:id="51"/>
    </w:p>
    <w:p>
      <w:pPr>
        <w:pStyle w:val="Heading2"/>
        <w:rPr/>
      </w:pPr>
      <w:bookmarkStart w:id="52" w:name="__RefHeading___Toc4229_2275915807"/>
      <w:bookmarkStart w:id="53" w:name="согласование-и-отклонение"/>
      <w:bookmarkEnd w:id="52"/>
      <w:r>
        <w:rPr>
          <w:rStyle w:val="SectionNumber"/>
        </w:rPr>
        <w:t>8.3</w:t>
      </w:r>
      <w:r>
        <w:rPr/>
        <w:tab/>
        <w:t>Согласование и отклонение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5668645"/>
            <wp:effectExtent l="0" t="0" r="0" b="0"/>
            <wp:docPr id="14" name="Image14" descr="Решение руководи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Решение руководителя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6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54" w:name="согласование-и-отклонение"/>
      <w:r>
        <w:rPr/>
        <w:t>Решение руководителя</w:t>
      </w:r>
      <w:bookmarkEnd w:id="54"/>
    </w:p>
    <w:p>
      <w:pPr>
        <w:pStyle w:val="Heading2"/>
        <w:rPr/>
      </w:pPr>
      <w:bookmarkStart w:id="55" w:name="__RefHeading___Toc4231_2275915807"/>
      <w:bookmarkStart w:id="56" w:name="построение-графика"/>
      <w:bookmarkEnd w:id="55"/>
      <w:r>
        <w:rPr>
          <w:rStyle w:val="SectionNumber"/>
        </w:rPr>
        <w:t>8.4</w:t>
      </w:r>
      <w:r>
        <w:rPr/>
        <w:tab/>
        <w:t>Построение графика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6595110"/>
            <wp:effectExtent l="0" t="0" r="0" b="0"/>
            <wp:docPr id="15" name="Image15" descr="Загрузка графика с конфликтами отдел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Загрузка графика с конфликтами отделов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9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57" w:name="ключевые-сценарии"/>
      <w:bookmarkStart w:id="58" w:name="построение-графика"/>
      <w:r>
        <w:rPr/>
        <w:t>Загрузка графика с конфликтами отделов</w:t>
      </w:r>
      <w:bookmarkEnd w:id="57"/>
      <w:bookmarkEnd w:id="58"/>
    </w:p>
    <w:p>
      <w:pPr>
        <w:pStyle w:val="Heading1"/>
        <w:rPr/>
      </w:pPr>
      <w:bookmarkStart w:id="59" w:name="__RefHeading___Toc4233_2275915807"/>
      <w:bookmarkStart w:id="60" w:name="безопасность"/>
      <w:bookmarkEnd w:id="59"/>
      <w:r>
        <w:rPr>
          <w:rStyle w:val="SectionNumber"/>
        </w:rPr>
        <w:t>9</w:t>
      </w:r>
      <w:r>
        <w:rPr/>
        <w:tab/>
        <w:t>Безопасность</w:t>
      </w:r>
    </w:p>
    <w:p>
      <w:pPr>
        <w:pStyle w:val="Heading2"/>
        <w:rPr/>
      </w:pPr>
      <w:bookmarkStart w:id="61" w:name="__RefHeading___Toc4235_2275915807"/>
      <w:bookmarkEnd w:id="61"/>
      <w:r>
        <w:rPr>
          <w:rStyle w:val="SectionNumber"/>
        </w:rPr>
        <w:t>9.1</w:t>
      </w:r>
      <w:r>
        <w:rPr/>
        <w:tab/>
        <w:t>Аутентификация и сессии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Механизм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Реализация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Хранение паролей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scrypt с солью в пуле потоков, сравнение за постоянное время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auth/passwords.ts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); для несуществующего логина проверяется подставной хеш — время ответа не выдаёт, есть ли логин; пароли не попадают в журналы, ответы и выгрузки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Access-токен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JWT HS256, 15 минут, в памяти вкладки (не в localStorage)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Refresh-токен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Случайный, в httpOnly-cookie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vp_refresh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(SameSite=Strict, Secure в production, path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); в БД хранится только SHA-256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Ротация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Каждое обновление отзывает использованный refresh и выдаёт новый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Смена пароля и увольнение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Смена пароля увеличивает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pw_version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увольнение снимает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is_active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: выданные токены перестают действовать (ответ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401 auth/token-expired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не позже 10 секунд в других процессах)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Ограничение частоты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10 попыток в минуту на пару «адрес + логин» и 60 на адрес →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429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Retry-After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окна — в PostgreSQL, общие для всех процессов и экземпляров (скользящая оценка по текущей и прошлой минуте); адрес клиента берётся из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X-Forwarded-For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только от доверенных прокси частных сетей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TRUST_PROXY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Поток событий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Открывается по одноразовому билету на 60 секунд (отдельная аудитория JWT): токен не попадает в адрес и журналы прокси; при открытии сверяются версия пароля и активность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Ответ на неверный вход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Единый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401 auth/invalid-credentials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без указания причины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Единый вход (OIDC)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Authorization code + PKCE (S256); state, nonce и verifier — в подписанной httpOnly-cookie на 10 минут; id_token проверяется по JWKS (подпись, издатель, получатель, срок, nonce); сотрудник — по логину из утверждения; после входа — та же refresh-cookie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Отключение пароля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LOCAL_LOGIN=false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пароль остаётся только у администраторов — аварийный вход при недоступности провайдера</w:t>
            </w:r>
            <w:bookmarkStart w:id="62" w:name="аутентификация-и-сессии"/>
            <w:bookmarkEnd w:id="62"/>
          </w:p>
        </w:tc>
      </w:tr>
    </w:tbl>
    <w:p>
      <w:pPr>
        <w:pStyle w:val="Heading2"/>
        <w:rPr/>
      </w:pPr>
      <w:bookmarkStart w:id="63" w:name="__RefHeading___Toc4237_2275915807"/>
      <w:bookmarkEnd w:id="63"/>
      <w:r>
        <w:rPr>
          <w:rStyle w:val="SectionNumber"/>
        </w:rPr>
        <w:t>9.2</w:t>
      </w:r>
      <w:r>
        <w:rPr/>
        <w:tab/>
        <w:t>Защита запросов</w:t>
      </w:r>
    </w:p>
    <w:p>
      <w:pPr>
        <w:pStyle w:val="FirstParagraph"/>
        <w:rPr/>
      </w:pPr>
      <w:r>
        <w:rPr/>
        <w:t>Глобальные guards применяются ко всем маршрутам по умолчанию; публичные (</w:t>
      </w:r>
      <w:r>
        <w:rPr>
          <w:rStyle w:val="VerbatimChar"/>
        </w:rPr>
        <w:t>/healthz</w:t>
      </w:r>
      <w:r>
        <w:rPr/>
        <w:t xml:space="preserve">, </w:t>
      </w:r>
      <w:r>
        <w:rPr>
          <w:rStyle w:val="VerbatimChar"/>
        </w:rPr>
        <w:t>/readyz</w:t>
      </w:r>
      <w:r>
        <w:rPr/>
        <w:t xml:space="preserve">, </w:t>
      </w:r>
      <w:r>
        <w:rPr>
          <w:rStyle w:val="VerbatimChar"/>
        </w:rPr>
        <w:t>/metrics</w:t>
      </w:r>
      <w:r>
        <w:rPr/>
        <w:t xml:space="preserve">, календарь, вход, обновление, поток событий по билету) отмечены явно. </w:t>
      </w:r>
      <w:r>
        <w:rPr>
          <w:rStyle w:val="VerbatimChar"/>
        </w:rPr>
        <w:t>/metrics</w:t>
      </w:r>
      <w:r>
        <w:rPr/>
        <w:t xml:space="preserve"> не проксируется nginx наружу и может требовать </w:t>
      </w:r>
      <w:r>
        <w:rPr>
          <w:rStyle w:val="VerbatimChar"/>
        </w:rPr>
        <w:t>METRICS_TOKEN</w:t>
      </w:r>
      <w:r>
        <w:rPr/>
        <w:t xml:space="preserve">. DTO-валидация отбрасывает неизвестные поля. Ответы API содержат </w:t>
      </w:r>
      <w:r>
        <w:rPr>
          <w:rStyle w:val="VerbatimChar"/>
        </w:rPr>
        <w:t>X-Content-Type-Options: nosniff</w:t>
      </w:r>
      <w:r>
        <w:rPr/>
        <w:t xml:space="preserve">, </w:t>
      </w:r>
      <w:r>
        <w:rPr>
          <w:rStyle w:val="VerbatimChar"/>
        </w:rPr>
        <w:t>X-Frame-Options: DENY</w:t>
      </w:r>
      <w:r>
        <w:rPr/>
        <w:t xml:space="preserve">, </w:t>
      </w:r>
      <w:r>
        <w:rPr>
          <w:rStyle w:val="VerbatimChar"/>
        </w:rPr>
        <w:t>Referrer-Policy</w:t>
      </w:r>
      <w:r>
        <w:rPr/>
        <w:t xml:space="preserve">, </w:t>
      </w:r>
      <w:r>
        <w:rPr>
          <w:rStyle w:val="VerbatimChar"/>
        </w:rPr>
        <w:t>Permissions-Policy</w:t>
      </w:r>
      <w:r>
        <w:rPr/>
        <w:t>. nginx отдаёт SPA с Content Security Policy (</w:t>
      </w:r>
      <w:r>
        <w:rPr>
          <w:rStyle w:val="VerbatimChar"/>
        </w:rPr>
        <w:t>script-src 'self'</w:t>
      </w:r>
      <w:r>
        <w:rPr/>
        <w:t xml:space="preserve">, без inline-скриптов, </w:t>
      </w:r>
      <w:r>
        <w:rPr>
          <w:rStyle w:val="VerbatimChar"/>
        </w:rPr>
        <w:t>frame-ancestors 'none'</w:t>
      </w:r>
      <w:r>
        <w:rPr/>
        <w:t xml:space="preserve">); e2e-тесты выполняются под той же политикой и падают при её нарушении. В клиенте запрещён </w:t>
      </w:r>
      <w:r>
        <w:rPr>
          <w:rStyle w:val="VerbatimChar"/>
        </w:rPr>
        <w:t>v-html</w:t>
      </w:r>
      <w:r>
        <w:rPr/>
        <w:t>: данные пользователей выводятся только интерполяцией Vue с автоэкранированием.</w:t>
      </w:r>
    </w:p>
    <w:p>
      <w:pPr>
        <w:pStyle w:val="Heading2"/>
        <w:rPr/>
      </w:pPr>
      <w:bookmarkStart w:id="64" w:name="__RefHeading___Toc4239_2275915807"/>
      <w:bookmarkStart w:id="65" w:name="модель-авторизации"/>
      <w:bookmarkEnd w:id="64"/>
      <w:r>
        <w:rPr>
          <w:rStyle w:val="SectionNumber"/>
        </w:rPr>
        <w:t>9.3</w:t>
      </w:r>
      <w:r>
        <w:rPr/>
        <w:tab/>
        <w:t>Модель авторизации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Роль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Права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Свои заявки, баланс и график работы; общий график; команда и аналитика своего отдела; подбор дат для себя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Дополнительно: согласование заявок и оформление отпусков прямых подчинённых, их режим работы, аналитика отделов, где работают подчинённые или которыми руководит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Кадровая служба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Сотрудники, импорт, оргструктура, производственный календарь, выгрузки и аналитика всей организации, журнал аудита. Не меняет правила организации, не согласует заявки, не меняет учётные записи администраторов и коллег по службе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Администратор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Всё: дополнительно правила организации, выдача служебных ролей, согласование любых заявок; последнего администратора разжаловать нельзя</w:t>
            </w:r>
          </w:p>
        </w:tc>
      </w:tr>
    </w:tbl>
    <w:p>
      <w:pPr>
        <w:pStyle w:val="BodyText"/>
        <w:rPr/>
      </w:pPr>
      <w:r>
        <w:rPr/>
        <w:t>Права служебных ролей читаются из БД на каждый запрос (</w:t>
      </w:r>
      <w:r>
        <w:rPr>
          <w:rStyle w:val="VerbatimChar"/>
        </w:rPr>
        <w:t>auth/access.ts</w:t>
      </w:r>
      <w:r>
        <w:rPr/>
        <w:t>), а не из токена: снятие роли действует сразу.</w:t>
      </w:r>
      <w:bookmarkEnd w:id="65"/>
    </w:p>
    <w:p>
      <w:pPr>
        <w:pStyle w:val="Heading2"/>
        <w:rPr/>
      </w:pPr>
      <w:bookmarkStart w:id="66" w:name="__RefHeading___Toc4241_2275915807"/>
      <w:bookmarkStart w:id="67" w:name="журналирование-и-аудит"/>
      <w:bookmarkEnd w:id="66"/>
      <w:r>
        <w:rPr>
          <w:rStyle w:val="SectionNumber"/>
        </w:rPr>
        <w:t>9.4</w:t>
      </w:r>
      <w:r>
        <w:rPr/>
        <w:tab/>
        <w:t>Журналирование и аудит</w:t>
      </w:r>
    </w:p>
    <w:p>
      <w:pPr>
        <w:pStyle w:val="FirstParagraph"/>
        <w:rPr/>
      </w:pPr>
      <w:r>
        <w:rPr/>
        <w:t xml:space="preserve">Каждое изменение данных пишет запись в </w:t>
      </w:r>
      <w:r>
        <w:rPr>
          <w:rStyle w:val="VerbatimChar"/>
        </w:rPr>
        <w:t>audit_events</w:t>
      </w:r>
      <w:r>
        <w:rPr/>
        <w:t xml:space="preserve"> (кто, когда, действие, объект, значения до и после) в той же транзакции, что и само изменение: запись журнала не может потеряться или появиться без изменения. Журнал только дополняется. Администратор просматривает его с фильтром по объектам и раскрытием изменённых полей.</w:t>
      </w:r>
      <w:bookmarkEnd w:id="60"/>
      <w:bookmarkEnd w:id="67"/>
    </w:p>
    <w:p>
      <w:pPr>
        <w:pStyle w:val="Heading1"/>
        <w:rPr/>
      </w:pPr>
      <w:bookmarkStart w:id="68" w:name="__RefHeading___Toc4243_2275915807"/>
      <w:bookmarkEnd w:id="68"/>
      <w:r>
        <w:rPr>
          <w:rStyle w:val="SectionNumber"/>
        </w:rPr>
        <w:t>10</w:t>
      </w:r>
      <w:r>
        <w:rPr/>
        <w:tab/>
        <w:t>Программный интерфейс</w:t>
      </w:r>
    </w:p>
    <w:p>
      <w:pPr>
        <w:pStyle w:val="FirstParagraph"/>
        <w:rPr/>
      </w:pPr>
      <w:r>
        <w:rPr/>
        <w:t xml:space="preserve">REST API v1 — JSON по HTTPS с префиксом </w:t>
      </w:r>
      <w:r>
        <w:rPr>
          <w:rStyle w:val="VerbatimChar"/>
        </w:rPr>
        <w:t>/api/v1</w:t>
      </w:r>
      <w:r>
        <w:rPr/>
        <w:t xml:space="preserve">, описание — OpenAPI 3.1 в </w:t>
      </w:r>
      <w:r>
        <w:rPr>
          <w:rStyle w:val="VerbatimChar"/>
        </w:rPr>
        <w:t>contracts/</w:t>
      </w:r>
      <w:r>
        <w:rPr/>
        <w:t xml:space="preserve">. Реализация публикует интерактивную спецификацию на </w:t>
      </w:r>
      <w:r>
        <w:rPr>
          <w:rStyle w:val="VerbatimChar"/>
        </w:rPr>
        <w:t>/api/docs</w:t>
      </w:r>
      <w:r>
        <w:rPr/>
        <w:t>. Полный каталог операций с правами и кодами ошибок — документ 2.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Группа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Основные операции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Сессии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вход по паролю и через единый вход, обновление, выход, профиль и личные настройки, смена пароля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список (свои, подчинённых, все), создание, изменение и перенос, отмена или запрос удаления, согласование, отклонение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и режим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за период с конфликтами; шаблон и исключения режима работы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Аналитика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доступные отделы, обзор года, состав на дату, подбор дат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Справочники и настройки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отделы, проекты, группы, календарь (чтение и правка), правила организации, проверочное письмо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Импорт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сотрудники и остатки из XLSX/CSV и JSON, шаблон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Сервис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уведомления и поток событий (SSE), журнал аудита, выгрузка XLSX, пробы</w:t>
            </w:r>
            <w:bookmarkStart w:id="69" w:name="программный-интерфейс"/>
            <w:bookmarkEnd w:id="69"/>
          </w:p>
        </w:tc>
      </w:tr>
    </w:tbl>
    <w:p>
      <w:pPr>
        <w:pStyle w:val="Heading1"/>
        <w:rPr/>
      </w:pPr>
      <w:bookmarkStart w:id="70" w:name="__RefHeading___Toc4245_2275915807"/>
      <w:bookmarkEnd w:id="70"/>
      <w:r>
        <w:rPr>
          <w:rStyle w:val="SectionNumber"/>
        </w:rPr>
        <w:t>11</w:t>
      </w:r>
      <w:r>
        <w:rPr/>
        <w:tab/>
        <w:t>Наблюдаемость и эксплуатация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Задача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Средство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Живость и готовность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/healthz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(процесс),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/readyz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(запрос к БД); healthcheck контейнера PostgreSQL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Метрики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/metrics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формате Prometheus: задержки и коды по шаблонам маршрутов, задержка цикла событий, память и процессор, потоки SSE; из БД — соединения по состояниям, очередь писем, фоновые задачи, реплики и архив WAL. Процессы кластера складываются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Оповещения и панель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deploy/monitoring/alerts.yml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(15 правил: доступность, 5xx, p95, перегрузка БД, реплика, архив, почта)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grafana-dashboard.json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stdout контейнеров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compose logs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), уровни log/warn/error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Перегрузка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Нет свободного соединения или БД недоступна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503 service-unavailable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Retry-After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счётчик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vp_db_errors_total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Резервное копирование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pg_dump -Fc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раз в сутки, 14 дней. 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docker-compose.replica.yml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реплика, архив WAL и ежедневные физические копии (ADR-014)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Обновление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git pull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compose up -d --build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миграции применяются при старте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Целевые показатели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 репликой и архивом WAL: RPO — секунды (реплика) или до 5 минут (архив), RTO 15 минут. Без них: RPO 24 ч, RTO 1 ч. p95 ≤ 300 мс на чтение и ≤ 500 мс на запись при 500 одновременных пользователях</w:t>
            </w:r>
          </w:p>
        </w:tc>
      </w:tr>
    </w:tbl>
    <w:p>
      <w:pPr>
        <w:pStyle w:val="Heading1"/>
        <w:rPr/>
      </w:pPr>
      <w:bookmarkStart w:id="71" w:name="__RefHeading___Toc4247_2275915807"/>
      <w:bookmarkEnd w:id="71"/>
      <w:r>
        <w:rPr>
          <w:rStyle w:val="SectionNumber"/>
        </w:rPr>
        <w:t>12</w:t>
      </w:r>
      <w:r>
        <w:rPr/>
        <w:tab/>
        <w:t>Технологический стек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Слой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Технологии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Node.js 20/22, NestJS 11, TypeScript 5 strict, class-validator, exceljs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Данные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PostgreSQL 17, Prisma 6 (схема, миграции, клиент)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Клиент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Vue 3.5, Vite 6, Pinia, vue-router 4, собственные компоненты и иконки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Тесты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Vitest + supertest (API на тестовой БД), Vitest (модули клиента), Playwright (e2e интерфейса)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Качество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ESLint 9, vue-tsc, тест сверки контракта, лицензионный гейт SBOM (CycloneDX 1.5)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Поставка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Docker multi-stage, docker compose, nginx; GitHub Actions и Gitea Actions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Документация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Markdown → pandoc → PDF (Chromium) и DOCX; схемы Mermaid и HTML → PNG</w:t>
            </w:r>
          </w:p>
        </w:tc>
      </w:tr>
    </w:tbl>
    <w:p>
      <w:pPr>
        <w:pStyle w:val="Heading1"/>
        <w:rPr/>
      </w:pPr>
      <w:bookmarkStart w:id="72" w:name="__RefHeading___Toc4249_2275915807"/>
      <w:bookmarkEnd w:id="72"/>
      <w:r>
        <w:rPr>
          <w:rStyle w:val="SectionNumber"/>
        </w:rPr>
        <w:t>13</w:t>
      </w:r>
      <w:r>
        <w:rPr/>
        <w:tab/>
        <w:t>Ключевые решения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Решение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Альтернатива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Обоснование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Модульный монолит NestJS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Микросервисы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Масштаб до 5000 пользователей обслуживается одним процессом; DI, guards и OpenAPI из коробки; модули повторяют предметные области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PostgreSQL с первой версии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SQLite с последующим переходом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Конкурентная запись, транзакции, репликация; нет миграционного долга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Prisma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TypeORM, SQL вручную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Типобезопасные запросы, схема как документация, миграции с ревью SQL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JWT + refresh с ротацией в БД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Серверные сессии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 без состояния для горизонтального масштабирования; отзыв через таблицу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scrypt из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node:crypto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bcrypt, argon2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Без нативных зависимостей, достаточная стойкость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Свой UI без библиотек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PrimeVue, Quasar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Единая дизайн-система продуктов; минимальный SBOM для реестра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Аудит в транзакции изменения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Асинхронные события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всегда согласован с данными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Аналитика на сервере чистыми функциями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Расчёт в браузере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Одинаковые правила для всех клиентов; тестируемость; данные других отделов не уходят в браузер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Общее состояние в PostgreSQL (ADR-012)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Redis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Одно хранилище в поставке и резервном копировании; нагрузки 5000 пользователей хватает с запасом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SSE и опрос БД (ADR-013)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WebSocket, брокер сообщений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Сигналу «есть изменения» не нужен двусторонний канал; без брокера — меньше компонентов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Реплика и архив WAL штатно (ADR-014)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Patroni, repmgr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RPO и RTO требований достигаются без сервиса согласования и лишних компонентов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Свой реестр метрик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prom-client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Нужна малая часть библиотеки; сложение процессов кластера всё равно требует своей обвязки</w:t>
            </w:r>
          </w:p>
        </w:tc>
      </w:tr>
    </w:tbl>
    <w:p>
      <w:pPr>
        <w:pStyle w:val="BodyText"/>
        <w:rPr/>
      </w:pPr>
      <w:r>
        <w:rPr/>
        <w:t xml:space="preserve">Полные записи — </w:t>
      </w:r>
      <w:r>
        <w:rPr>
          <w:rStyle w:val="VerbatimChar"/>
        </w:rPr>
        <w:t>docs/adr/</w:t>
      </w:r>
      <w:r>
        <w:rPr/>
        <w:t>.</w:t>
      </w:r>
    </w:p>
    <w:p>
      <w:pPr>
        <w:pStyle w:val="Heading1"/>
        <w:rPr/>
      </w:pPr>
      <w:bookmarkStart w:id="73" w:name="__RefHeading___Toc4251_2275915807"/>
      <w:bookmarkEnd w:id="73"/>
      <w:r>
        <w:rPr>
          <w:rStyle w:val="SectionNumber"/>
        </w:rPr>
        <w:t>14</w:t>
      </w:r>
      <w:r>
        <w:rPr/>
        <w:tab/>
        <w:t>План развития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Версия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Содержание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Статус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v0.1.0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Зрелый стек вместо прототипа: вход, заявки, график, справочники, аудит, Docker, SBOM, CI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выпущена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v0.2.x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Схемы документации, XLSX-выгрузки, ограничение частоты входа, security-заголовки, полосы Ганта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выпущена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v0.3.0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Конвейер документов и новые схемы; новый интерфейс и иконки; праздники в балансе; аналитика пересечений и подбор дат; график работы, панель команды, сравнение; резервное копирование; e2e интерфейса и сверка контракта в CI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выпущена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v0.4.0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Интеграции: импорт сотрудников и остатков, единый вход OIDC, письма о заявках и еженедельная сводка, роль кадровой службы, календарь в интерфейсе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выпущена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v0.5.0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Эксплуатация на 5000: кластер процессов, кэш графика, нагрузочная валидация, метрики Prometheus, реплика и архив WAL, живые обновления, мгновенный отзыв сеанса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текущая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v1.0.0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Приёмка HR и ИБ, комплект для реестра отечественного ПО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план</w:t>
            </w:r>
            <w:bookmarkStart w:id="74" w:name="план-развития"/>
            <w:bookmarkEnd w:id="74"/>
          </w:p>
        </w:tc>
      </w:tr>
    </w:tbl>
    <w:sectPr>
      <w:footerReference w:type="even" r:id="rId17"/>
      <w:footerReference w:type="default" r:id="rId18"/>
      <w:footerReference w:type="first" r:id="rId19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0.5.0 · Описание архитектуры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0.5.0 · Описание архитектуры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2026-10-28T22:30:05Z</dcterms:created>
  <dc:creator/>
  <dc:description/>
  <dc:language>en-US</dc:language>
  <cp:lastModifiedBy/>
  <dcterms:modified xsi:type="dcterms:W3CDTF">2026-10-28T22:31:10Z</dcterms:modified>
  <cp:revision>1</cp:revision>
  <dc:subject/>
  <dc:title>Описание архитектуры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28 октября 2026</vt:lpwstr>
  </property>
  <property fmtid="{D5CDD505-2E9C-101B-9397-08002B2CF9AE}" pid="3" name="subtitle">
    <vt:lpwstr>Планировщик отпусков 0.5.0 · Платформа, компоненты, решения и план развития</vt:lpwstr>
  </property>
  <property fmtid="{D5CDD505-2E9C-101B-9397-08002B2CF9AE}" pid="4" name="toc-title">
    <vt:lpwstr>Содержание</vt:lpwstr>
  </property>
</Properties>
</file>