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архитектуры</w:t>
      </w:r>
    </w:p>
    <w:p>
      <w:pPr>
        <w:pStyle w:val="Subtitle"/>
        <w:rPr/>
      </w:pPr>
      <w:r>
        <w:rPr/>
        <w:t>Планировщик отпусков 0.6.0 · Платформа, компоненты, решения и план развития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694_844417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96_844417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98_844417">
            <w:r>
              <w:rPr>
                <w:webHidden/>
                <w:rStyle w:val="IndexLink"/>
              </w:rPr>
              <w:t>2.1 Назначение и класс системы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00_844417">
            <w:r>
              <w:rPr>
                <w:webHidden/>
                <w:rStyle w:val="IndexLink"/>
              </w:rPr>
              <w:t>2.2 Архитектурные принципы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02_844417">
            <w:r>
              <w:rPr>
                <w:webHidden/>
                <w:rStyle w:val="IndexLink"/>
              </w:rPr>
              <w:t>2.3 Показатели кодовой базы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04_844417">
            <w:r>
              <w:rPr>
                <w:webHidden/>
                <w:rStyle w:val="IndexLink"/>
              </w:rPr>
              <w:t>3 Контекст системы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06_844417">
            <w:r>
              <w:rPr>
                <w:webHidden/>
                <w:rStyle w:val="IndexLink"/>
              </w:rPr>
              <w:t>4 Контейнеры и развёртывание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08_844417">
            <w:r>
              <w:rPr>
                <w:webHidden/>
                <w:rStyle w:val="IndexLink"/>
              </w:rPr>
              <w:t>4.1 Состав контейнеров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10_844417">
            <w:r>
              <w:rPr>
                <w:webHidden/>
                <w:rStyle w:val="IndexLink"/>
              </w:rPr>
              <w:t>4.2 Поставка и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12_844417">
            <w:r>
              <w:rPr>
                <w:webHidden/>
                <w:rStyle w:val="IndexLink"/>
              </w:rPr>
              <w:t>4.3 Масштабирование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14_844417">
            <w:r>
              <w:rPr>
                <w:webHidden/>
                <w:rStyle w:val="IndexLink"/>
              </w:rPr>
              <w:t>5 Серверная часть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16_844417">
            <w:r>
              <w:rPr>
                <w:webHidden/>
                <w:rStyle w:val="IndexLink"/>
              </w:rPr>
              <w:t>5.1 Слои и компоненты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18_844417">
            <w:r>
              <w:rPr>
                <w:webHidden/>
                <w:rStyle w:val="IndexLink"/>
              </w:rPr>
              <w:t>5.2 Ключевые сервисы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20_844417">
            <w:r>
              <w:rPr>
                <w:webHidden/>
                <w:rStyle w:val="IndexLink"/>
              </w:rPr>
              <w:t>5.3 Обработка запроса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22_844417">
            <w:r>
              <w:rPr>
                <w:webHidden/>
                <w:rStyle w:val="IndexLink"/>
              </w:rPr>
              <w:t>6 Клиентская часть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24_844417">
            <w:r>
              <w:rPr>
                <w:webHidden/>
                <w:rStyle w:val="IndexLink"/>
              </w:rPr>
              <w:t>7 Модель данных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26_844417">
            <w:r>
              <w:rPr>
                <w:webHidden/>
                <w:rStyle w:val="IndexLink"/>
              </w:rPr>
              <w:t>7.1 Организация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28_844417">
            <w:r>
              <w:rPr>
                <w:webHidden/>
                <w:rStyle w:val="IndexLink"/>
              </w:rPr>
              <w:t>7.2 Отпуска и режим работы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0_844417">
            <w:r>
              <w:rPr>
                <w:webHidden/>
                <w:rStyle w:val="IndexLink"/>
              </w:rPr>
              <w:t>7.3 Служебные данные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2_844417">
            <w:r>
              <w:rPr>
                <w:webHidden/>
                <w:rStyle w:val="IndexLink"/>
              </w:rPr>
              <w:t>7.4 Кадровый учёт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4_844417">
            <w:r>
              <w:rPr>
                <w:webHidden/>
                <w:rStyle w:val="IndexLink"/>
              </w:rPr>
              <w:t>7.5 Жизненный цикл заявки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36_844417">
            <w:r>
              <w:rPr>
                <w:webHidden/>
                <w:rStyle w:val="IndexLink"/>
              </w:rPr>
              <w:t>8 Ключевые сценарии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8_844417">
            <w:r>
              <w:rPr>
                <w:webHidden/>
                <w:rStyle w:val="IndexLink"/>
              </w:rPr>
              <w:t>8.1 Вход и продление сессии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0_844417">
            <w:r>
              <w:rPr>
                <w:webHidden/>
                <w:rStyle w:val="IndexLink"/>
              </w:rPr>
              <w:t>8.2 Подача заявки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2_844417">
            <w:r>
              <w:rPr>
                <w:webHidden/>
                <w:rStyle w:val="IndexLink"/>
              </w:rPr>
              <w:t>8.3 Согласование и отклонение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4_844417">
            <w:r>
              <w:rPr>
                <w:webHidden/>
                <w:rStyle w:val="IndexLink"/>
              </w:rPr>
              <w:t>8.4 Построение графика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46_844417">
            <w:r>
              <w:rPr>
                <w:webHidden/>
                <w:rStyle w:val="IndexLink"/>
              </w:rPr>
              <w:t>9 Безопасность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8_844417">
            <w:r>
              <w:rPr>
                <w:webHidden/>
                <w:rStyle w:val="IndexLink"/>
              </w:rPr>
              <w:t>9.1 Аутентификация и сессии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0_844417">
            <w:r>
              <w:rPr>
                <w:webHidden/>
                <w:rStyle w:val="IndexLink"/>
              </w:rPr>
              <w:t>9.2 Защита запросов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2_844417">
            <w:r>
              <w:rPr>
                <w:webHidden/>
                <w:rStyle w:val="IndexLink"/>
              </w:rPr>
              <w:t>9.3 Модель авторизации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4_844417">
            <w:r>
              <w:rPr>
                <w:webHidden/>
                <w:rStyle w:val="IndexLink"/>
              </w:rPr>
              <w:t>9.4 Журналирование и аудит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6_844417">
            <w:r>
              <w:rPr>
                <w:webHidden/>
                <w:rStyle w:val="IndexLink"/>
              </w:rPr>
              <w:t>9.5 Чек-лист безопасности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58_844417">
            <w:r>
              <w:rPr>
                <w:webHidden/>
                <w:rStyle w:val="IndexLink"/>
              </w:rPr>
              <w:t>10 Программный интерфейс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60_844417">
            <w:r>
              <w:rPr>
                <w:webHidden/>
                <w:rStyle w:val="IndexLink"/>
              </w:rPr>
              <w:t>11 Наблюдаемость и эксплуатация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62_844417">
            <w:r>
              <w:rPr>
                <w:webHidden/>
                <w:rStyle w:val="IndexLink"/>
              </w:rPr>
              <w:t>12 Технологический стек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64_844417">
            <w:r>
              <w:rPr>
                <w:webHidden/>
                <w:rStyle w:val="IndexLink"/>
              </w:rPr>
              <w:t>13 Ключевые решения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66_844417">
            <w:r>
              <w:rPr>
                <w:webHidden/>
                <w:rStyle w:val="IndexLink"/>
              </w:rPr>
              <w:t>14 План развития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694_84441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архитектуру «Планировщика отпусков» версии 0.5.0: назначение и границы системы, состав компонентов и их взаимодействие, модель данных, программный интерфейс, механизмы безопасности, развёртывание, эксплуатацию и план развития. Документ предназначен для архитекторов, разработчиков, инженеров сопровождения и службы информационной безопасности.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было в прототипе и что стало целевым составом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 v1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Протокол, каталог операций и ошибок, матрица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Версии, эпики и истории с критериями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— Модель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Сущности, словарь данных, инварианты, миграции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Окружения, конвейеры, порядок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— SBOM и лицензии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сторонних компонентов для реестра отечественного ПО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Установка, обновление, резервное копирование</w:t>
            </w:r>
          </w:p>
        </w:tc>
      </w:tr>
    </w:tbl>
    <w:p>
      <w:pPr>
        <w:pStyle w:val="BodyText"/>
        <w:rPr/>
      </w:pPr>
      <w:r>
        <w:rPr/>
        <w:t xml:space="preserve">Источники истины, на которые опирается документ: контракт </w:t>
      </w:r>
      <w:r>
        <w:rPr>
          <w:rStyle w:val="VerbatimChar"/>
        </w:rPr>
        <w:t>contracts/openapi-vacation-api-v1.yaml</w:t>
      </w:r>
      <w:r>
        <w:rPr/>
        <w:t xml:space="preserve">, схема </w:t>
      </w:r>
      <w:r>
        <w:rPr>
          <w:rStyle w:val="VerbatimChar"/>
        </w:rPr>
        <w:t>server/prisma/schema.prisma</w:t>
      </w:r>
      <w:r>
        <w:rPr/>
        <w:t xml:space="preserve"> и исходный код ветки </w:t>
      </w:r>
      <w:r>
        <w:rPr>
          <w:rStyle w:val="VerbatimChar"/>
        </w:rPr>
        <w:t>v0.5.0</w:t>
      </w:r>
      <w:r>
        <w:rPr/>
        <w:t xml:space="preserve">. Решения, принятые с обоснованием и альтернативами, — </w:t>
      </w:r>
      <w:r>
        <w:rPr>
          <w:rStyle w:val="VerbatimChar"/>
        </w:rPr>
        <w:t>docs/adr/</w:t>
      </w:r>
      <w:r>
        <w:rPr/>
        <w:t>. Показатели кодовой базы ниже сформированы автоматически (</w:t>
      </w:r>
      <w:r>
        <w:rPr>
          <w:rStyle w:val="VerbatimChar"/>
        </w:rPr>
        <w:t>tools/docs/gen_tables.py</w:t>
      </w:r>
      <w:r>
        <w:rPr/>
        <w:t>), а соответствие контракта и реализации проверяется тестом в CI.</w:t>
      </w:r>
      <w:bookmarkEnd w:id="1"/>
    </w:p>
    <w:p>
      <w:pPr>
        <w:pStyle w:val="Heading1"/>
        <w:rPr/>
      </w:pPr>
      <w:bookmarkStart w:id="2" w:name="__RefHeading___Toc3696_844417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p>
      <w:pPr>
        <w:pStyle w:val="Heading2"/>
        <w:rPr/>
      </w:pPr>
      <w:bookmarkStart w:id="3" w:name="__RefHeading___Toc3698_844417"/>
      <w:bookmarkStart w:id="4" w:name="назначение-и-класс-системы"/>
      <w:bookmarkEnd w:id="3"/>
      <w:r>
        <w:rPr>
          <w:rStyle w:val="SectionNumber"/>
        </w:rPr>
        <w:t>2.1</w:t>
      </w:r>
      <w:r>
        <w:rPr/>
        <w:tab/>
        <w:t>Назначение и класс системы</w:t>
      </w:r>
    </w:p>
    <w:p>
      <w:pPr>
        <w:pStyle w:val="FirstParagraph"/>
        <w:rPr/>
      </w:pPr>
      <w:r>
        <w:rPr/>
        <w:t>«Планировщик отпусков» — корпоративное веб-приложение для планирования и согласования ежегодных отпусков. Оно ведёт график отпусков всей организации, заявки сотрудников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всех изменений.</w:t>
      </w:r>
    </w:p>
    <w:p>
      <w:pPr>
        <w:pStyle w:val="BodyText"/>
        <w:rPr/>
      </w:pPr>
      <w:r>
        <w:rPr/>
        <w:t xml:space="preserve">По архитектурному типу это </w:t>
      </w:r>
      <w:r>
        <w:rPr>
          <w:b/>
          <w:bCs/>
        </w:rPr>
        <w:t>клиент-серверное веб-приложение</w:t>
      </w:r>
      <w:r>
        <w:rPr/>
        <w:t>: одностраничный клиент (SPA) и REST API, устанавливаемые на серверы организации (on-premise) в контейнерах Docker. Целевой масштаб — от 1000 до 5000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61920"/>
            <wp:effectExtent l="0" t="0" r="0" b="0"/>
            <wp:docPr id="1" name="Picture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" w:name="назначение-и-класс-системы"/>
      <w:r>
        <w:rPr/>
        <w:t>Роли и их возможности</w:t>
      </w:r>
      <w:bookmarkEnd w:id="5"/>
    </w:p>
    <w:p>
      <w:pPr>
        <w:pStyle w:val="Heading2"/>
        <w:rPr/>
      </w:pPr>
      <w:bookmarkStart w:id="6" w:name="__RefHeading___Toc3700_844417"/>
      <w:bookmarkStart w:id="7" w:name="архитектурные-принципы"/>
      <w:bookmarkEnd w:id="6"/>
      <w:r>
        <w:rPr>
          <w:rStyle w:val="SectionNumber"/>
        </w:rPr>
        <w:t>2.2</w:t>
      </w:r>
      <w:r>
        <w:rPr/>
        <w:tab/>
        <w:t>Архитектурные принципы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Сервер решает, клиент показывает.</w:t>
      </w:r>
      <w:r>
        <w:rPr/>
        <w:t xml:space="preserve"> Правила (конечный автомат заявки, балансы, лимиты, права, конфликты) реализованы только в серверных сервисах. Проверки в клиенте — подсказки для удобства, а не защита.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прежде кода.</w:t>
      </w:r>
      <w:r>
        <w:rPr/>
        <w:t xml:space="preserve"> REST API v1 описан в </w:t>
      </w:r>
      <w:r>
        <w:rPr>
          <w:rStyle w:val="VerbatimChar"/>
        </w:rPr>
        <w:t>contracts/</w:t>
      </w:r>
      <w:r>
        <w:rPr/>
        <w:t xml:space="preserve"> и меняется через ревью владельца; тест сверки в CI не даёт реализации и контракту разойтись.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Одна операция — одна транзакция.</w:t>
      </w:r>
      <w:r>
        <w:rPr/>
        <w:t xml:space="preserve"> Изменение данных, запись в историю заявки, журнал аудита и уведомления фиксируются в одной транзакции PostgreSQL.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Чистые вычисления отдельно от ввода-вывода.</w:t>
      </w:r>
      <w:r>
        <w:rPr/>
        <w:t xml:space="preserve"> Баланс, интервалы и аналитика пересечений — модули без БД и без «текущего времени»: их проверяют модульные тесты, а дата расчёта передаётся аргументом.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Никаких временных решений.</w:t>
      </w:r>
      <w:r>
        <w:rPr/>
        <w:t xml:space="preserve"> Зрелый стек с первой версии: PostgreSQL, TypeScript strict, контейнеры, миграции, CI с e2e-тестами.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Зависимости — под контролем.</w:t>
      </w:r>
      <w:r>
        <w:rPr/>
        <w:t xml:space="preserve"> Каждая новая библиотека обосновывается в </w:t>
      </w:r>
      <w:r>
        <w:rPr>
          <w:rStyle w:val="VerbatimChar"/>
        </w:rPr>
        <w:t>docs/decisions.md</w:t>
      </w:r>
      <w:r>
        <w:rPr/>
        <w:t xml:space="preserve"> и проходит лицензионный гейт SBOM: copyleft и неизвестные лицензии блокируют слияние.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Секреты — только в окружении.</w:t>
      </w:r>
      <w:r>
        <w:rPr/>
        <w:t xml:space="preserve"> В репозитории нет паролей и ключей; сервер не стартует со слабым </w:t>
      </w:r>
      <w:r>
        <w:rPr>
          <w:rStyle w:val="VerbatimChar"/>
        </w:rPr>
        <w:t>JWT_SECRET</w:t>
      </w:r>
      <w:r>
        <w:rPr/>
        <w:t>.</w:t>
      </w:r>
      <w:bookmarkEnd w:id="7"/>
    </w:p>
    <w:p>
      <w:pPr>
        <w:pStyle w:val="Heading2"/>
        <w:rPr/>
      </w:pPr>
      <w:bookmarkStart w:id="8" w:name="__RefHeading___Toc3702_844417"/>
      <w:bookmarkEnd w:id="8"/>
      <w:r>
        <w:rPr>
          <w:rStyle w:val="SectionNumber"/>
        </w:rPr>
        <w:t>2.3</w:t>
      </w:r>
      <w:r>
        <w:rPr/>
        <w:tab/>
        <w:t>Показатели кодовой базы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файлов TypeScript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82 / 7 954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контроллеров / операций API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 / 83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данных: таблиц / миграций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24 / 12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файлов TS и Vue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/ 14 437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экранов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сервера: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23 / 194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клиента (модульные и e2e):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 / 44</w:t>
            </w:r>
            <w:bookmarkStart w:id="9" w:name="общие-сведения"/>
            <w:bookmarkStart w:id="10" w:name="показатели-кодовой-базы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3704_844417"/>
      <w:bookmarkEnd w:id="11"/>
      <w:r>
        <w:rPr>
          <w:rStyle w:val="SectionNumber"/>
        </w:rPr>
        <w:t>3</w:t>
      </w:r>
      <w:r>
        <w:rPr/>
        <w:tab/>
        <w:t>Контекст системы</w:t>
      </w:r>
    </w:p>
    <w:p>
      <w:pPr>
        <w:pStyle w:val="FirstParagraph"/>
        <w:rPr/>
      </w:pPr>
      <w:r>
        <w:rPr/>
        <w:t>Пользователи работают с системой через браузер по HTTPS. Внешние системы организации подключаются через стандартные протоколы: SMTP, OpenID Connect, файлы выгрузки.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2" name="Image2" descr="Диаграмма контекста (уровень 1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Диаграмма контекста (уровень 1 C4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контекста (уровень 1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Участник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Взаимодействие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Планирует отпуск, подаёт и переносит заявки, смотрит график отдела и свой график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подчинённых, видит пересечения и аналитику отдела, ведёт режим работы команды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и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производственный календарь, правила организации, журнал аудита,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Опрашивает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 жив)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(доступна БД); Prometheus собирает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Почтовый релей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и еженедельные сводки (SMTP)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Провайдер единого входа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OpenID Connect: Keycloak, ADFS, Blitz Identity и др.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система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Выгрузки сотрудников и остатков для импорта (XLSX, CSV, JSON)</w:t>
            </w:r>
          </w:p>
        </w:tc>
      </w:tr>
    </w:tbl>
    <w:p>
      <w:pPr>
        <w:pStyle w:val="Heading1"/>
        <w:rPr/>
      </w:pPr>
      <w:bookmarkStart w:id="12" w:name="__RefHeading___Toc3706_844417"/>
      <w:bookmarkEnd w:id="12"/>
      <w:r>
        <w:rPr>
          <w:rStyle w:val="SectionNumber"/>
        </w:rPr>
        <w:t>4</w:t>
      </w:r>
      <w:r>
        <w:rPr/>
        <w:tab/>
        <w:t>Контейнеры и развёртывание</w:t>
      </w:r>
    </w:p>
    <w:p>
      <w:pPr>
        <w:pStyle w:val="Heading2"/>
        <w:rPr/>
      </w:pPr>
      <w:bookmarkStart w:id="13" w:name="__RefHeading___Toc3708_844417"/>
      <w:bookmarkStart w:id="14" w:name="состав-контейнеров"/>
      <w:bookmarkEnd w:id="13"/>
      <w:r>
        <w:rPr>
          <w:rStyle w:val="SectionNumber"/>
        </w:rPr>
        <w:t>4.1</w:t>
      </w:r>
      <w:r>
        <w:rPr/>
        <w:tab/>
        <w:t>Состав контейнеров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42840"/>
            <wp:effectExtent l="0" t="0" r="0" b="0"/>
            <wp:docPr id="3" name="Image3" descr="Диаграмма контейнеров (уровень 2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Диаграмма контейнеров (уровень 2 C4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контейнеров (уровень 2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Контейнер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nginx 1.27 + статическая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Отдаёт SPA с CSP и заголовками безопасности, кеширует хешированные ассеты, проксирует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поток событий — без буферизации; адрес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разрешается заново каждые 10 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20, NestJS 11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REST API v1, бизнес-логика, поток событий, метрики;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процессов; миграции Prisma при старте контейнера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Все данные;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 (по умолчанию раз в сутки), ротация копий 14 дней;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postgres-replica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Горячий резерв: потоковая репликация по слоту, чтение; при аварии повышается до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Ежедневные физические копии и очистка архива WAL — восстановление на момент времени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prometheus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Prometheus 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правила оповещений (профиль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панель — в Grafana организации</w:t>
            </w:r>
          </w:p>
        </w:tc>
      </w:tr>
    </w:tbl>
    <w:p>
      <w:pPr>
        <w:pStyle w:val="BodyText"/>
        <w:rPr/>
      </w:pPr>
      <w:bookmarkStart w:id="15" w:name="состав-контейнеров"/>
      <w:r>
        <w:rPr/>
        <w:t>Перед стендом ставится обратный прокси организации с TLS (nginx или Caddy). Состояние сессий в сервере не хранится: access-токен — JWT, refresh-токены — в таблице PostgreSQL. Всё общее для процессов и экземпляров — лимит входа, версия данных графика, очередь писем, отметки фоновых задач — тоже в PostgreSQL (ADR-012), поэтому сервер масштабируется процессами и экземплярами без «липких» сессий и без отдельного хранилища.</w:t>
      </w:r>
      <w:bookmarkEnd w:id="15"/>
    </w:p>
    <w:p>
      <w:pPr>
        <w:pStyle w:val="Heading2"/>
        <w:rPr/>
      </w:pPr>
      <w:bookmarkStart w:id="16" w:name="__RefHeading___Toc3710_844417"/>
      <w:bookmarkStart w:id="17" w:name="поставка-и-окружения"/>
      <w:bookmarkEnd w:id="16"/>
      <w:r>
        <w:rPr>
          <w:rStyle w:val="SectionNumber"/>
        </w:rPr>
        <w:t>4.2</w:t>
      </w:r>
      <w:r>
        <w:rPr/>
        <w:tab/>
        <w:t>Поставка и окружения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005"/>
            <wp:effectExtent l="0" t="0" r="0" b="0"/>
            <wp:docPr id="4" name="Image4" descr="Поставка: от рабочего места до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Поставка: от рабочего места до стенд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Поставка: от рабочего места до стенда</w:t>
      </w:r>
    </w:p>
    <w:p>
      <w:pPr>
        <w:pStyle w:val="BodyText"/>
        <w:rPr/>
      </w:pPr>
      <w:r>
        <w:rPr/>
        <w:t xml:space="preserve">Код ведётся в двух репозиториях-зеркалах: GitHub (публичный) и Gitea организации. Оба запускают одинаковый набор проверок; в Gitea после зелёных проверок раннер </w:t>
      </w:r>
      <w:r>
        <w:rPr>
          <w:rStyle w:val="VerbatimChar"/>
        </w:rPr>
        <w:t>deploy</w:t>
      </w:r>
      <w:r>
        <w:rPr/>
        <w:t xml:space="preserve"> разворачивает стенд (</w:t>
      </w:r>
      <w:r>
        <w:rPr>
          <w:rStyle w:val="VerbatimChar"/>
        </w:rPr>
        <w:t>docker compose -p vacation-planner up -d --build</w:t>
      </w:r>
      <w:r>
        <w:rPr/>
        <w:t>) и выполняет дымовые пробы. Подробно — документ 7.</w:t>
      </w:r>
      <w:bookmarkEnd w:id="17"/>
    </w:p>
    <w:p>
      <w:pPr>
        <w:pStyle w:val="Heading2"/>
        <w:rPr/>
      </w:pPr>
      <w:bookmarkStart w:id="18" w:name="__RefHeading___Toc3712_844417"/>
      <w:bookmarkEnd w:id="18"/>
      <w:r>
        <w:rPr>
          <w:rStyle w:val="SectionNumber"/>
        </w:rPr>
        <w:t>4.3</w:t>
      </w:r>
      <w:r>
        <w:rPr/>
        <w:tab/>
        <w:t>Масштабирование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Один сервер: 2 vCPU, 4 ГБ ОЗУ, PostgreSQL в том же compose,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WEB_CONCURRENCY=auto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4 vCPU и 8 ГБ ОЗУ под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PostgreSQL — на отдельном узле или с репликой; при необходимости второй экземпляр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балансировщиком. Проверено нагрузкой: 500 одновременных пользователей при 5000 в базе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v0.6.0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load-v0.6.0.md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Пики начала дня (×5)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Ответ графика кэшируется по версии данных (ETag,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 Not Modified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тяжёлые чтения ограничены периодом и фильтром по отделу; выгрузка XLSX пишется потоком и уступает процессор другим запросам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Зачем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Кластер процессов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обслуживает запросы одним ядром; главный процесс запускает по процессу на ядро и перезапускает упавшие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Асинхронный scrypt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Хеширование пароля — в пуле потоков libuv: 100 мс расчёта не останавливают остальные запросы процесса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Пул соединений на процесс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min(10, 40 / процессов), не меньше 3: процессы одного экземпляра держат не больше ~40 соединений с БД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таблиц графика увеличивают счётчик при фиксации, один раз за транзакцию (16 строк — без конкуренции за одну);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кэшируется по версии и отдаётся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входа в PostgreSQL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Окна по минутам в нежурналируемой таблице: одинаковый лимит при любом числе процессов и экземпляров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вместо опроса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«данные изменились» приходят по SSE; процесс опрашивает БД одним запросом раз в 2 с на всех своих подключённых (ADR-013)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Виртуальный список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Браузер рисует только видимые строки: 5000 сотрудников — 1,8 тыс. узлов DOM вместо 65 тыс.</w:t>
            </w:r>
            <w:bookmarkStart w:id="19" w:name="масштабирование"/>
            <w:bookmarkEnd w:id="19"/>
          </w:p>
        </w:tc>
      </w:tr>
    </w:tbl>
    <w:p>
      <w:pPr>
        <w:pStyle w:val="Heading1"/>
        <w:rPr/>
      </w:pPr>
      <w:bookmarkStart w:id="20" w:name="__RefHeading___Toc3714_844417"/>
      <w:bookmarkEnd w:id="20"/>
      <w:r>
        <w:rPr>
          <w:rStyle w:val="SectionNumber"/>
        </w:rPr>
        <w:t>5</w:t>
      </w:r>
      <w:r>
        <w:rPr/>
        <w:tab/>
        <w:t>Серверная часть</w:t>
      </w:r>
    </w:p>
    <w:p>
      <w:pPr>
        <w:pStyle w:val="Heading2"/>
        <w:rPr/>
      </w:pPr>
      <w:bookmarkStart w:id="21" w:name="__RefHeading___Toc3716_844417"/>
      <w:bookmarkEnd w:id="21"/>
      <w:r>
        <w:rPr>
          <w:rStyle w:val="SectionNumber"/>
        </w:rPr>
        <w:t>5.1</w:t>
      </w:r>
      <w:r>
        <w:rPr/>
        <w:tab/>
        <w:t>Слои и компоненты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5" name="Image5" descr="Слои сервера (уровень 3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лои сервера (уровень 3 C4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сервера (уровень 3 C4)</w:t>
      </w:r>
    </w:p>
    <w:p>
      <w:pPr>
        <w:pStyle w:val="BodyText"/>
        <w:rPr/>
      </w:pPr>
      <w:r>
        <w:rPr/>
        <w:t xml:space="preserve">Сервер — модульный монолит NestJS: каждый домен в каталоге </w:t>
      </w:r>
      <w:r>
        <w:rPr>
          <w:rStyle w:val="VerbatimChar"/>
        </w:rPr>
        <w:t>server/src/&lt;домен&gt;/</w:t>
      </w:r>
      <w:r>
        <w:rPr/>
        <w:t xml:space="preserve"> содержит тонкий контроллер (DTO-валидация, вызов сервиса) и сервис с логикой.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Модуль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 OIDC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выход, обновление и смена пароля, личные настройки;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(JWT HS256), глобальные guards, ограничение частоты входа;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служебные роли (администратор, кадровая служба); сеансы, блокировка после неудачных попыток, журнал входов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login-journal.service.ts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политика паролей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одноразовый пароль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app.setup.ts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Общая настройка HTTP: trust proxy, cookie, заголовки, валидация — одна для продакшена и тестов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логины и одноразовые пароли, балансы, режим работы (шаблон и исключения)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Заявки: конечный автомат, пересечения, лимиты, перенос и удаление;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 баланса;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approval-scope.ts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кто решает по заявке (руководитель, руководитель отдела, заместитель, вышестоящий по эскалации);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передача заявки без решения вышестоящему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период: назначение руководителем или кадровой службой,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за две недели (ст. 123 ТК РФ): плановая задача, ознакомление, отзыв при переносе и отмене, журнал и выгрузка для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год, прогресс по отделам, напоминания, утверждение графика со снимком (ADR-016), форма Т-7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t7.ts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в каждом процессе; идемпотентность — в PostgreSQL (ADR-017)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за период с конфликтами отделов: сборка простым SQL, кэш по версии данных,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(SSE): билеты, подключения, опрос новых уведомлений и версии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analytics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Нагрузка отделов, периоды конфликтов, выводы руководителю, подбор дат;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directories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личные группы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календарь: праздники ст. 112 и переносы выходных; правка кадровой службой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Импорт сотрудников и остатков из XLSX/CSV и JSON;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чистая функция плана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(outbox в транзакции события), фоновая отправка с повторами, еженедельная сводка руководителям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settings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организации: порог конфликта, политика лимита, норма дней, безопасность входа, срок эскалации, срок извещения, реквизиты и подписанты формы Т-7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в интерфейсе и постановка писем в очередь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Неизменяемый журнал; запись только внутри транзакции изменения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в XLSX (журнал извещений и форма Т-7 — в своих модулях)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health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infra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ProblemException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фильтр RFC 9457;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реестр метрик и сложение процессов кластера;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concurrency.ts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число процессов и пул;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data-version.ts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версия данных и кэш ответов</w:t>
            </w:r>
            <w:bookmarkStart w:id="22" w:name="слои-и-компоненты"/>
            <w:bookmarkEnd w:id="22"/>
          </w:p>
        </w:tc>
      </w:tr>
    </w:tbl>
    <w:p>
      <w:pPr>
        <w:pStyle w:val="Heading2"/>
        <w:rPr/>
      </w:pPr>
      <w:bookmarkStart w:id="23" w:name="__RefHeading___Toc3718_844417"/>
      <w:bookmarkEnd w:id="23"/>
      <w:r>
        <w:rPr>
          <w:rStyle w:val="SectionNumber"/>
        </w:rPr>
        <w:t>5.2</w:t>
      </w:r>
      <w:r>
        <w:rPr/>
        <w:tab/>
        <w:t>Ключевые сервисы</w:t>
      </w:r>
    </w:p>
    <w:p>
      <w:pPr>
        <w:pStyle w:val="FirstParagraph"/>
        <w:rPr/>
      </w:pPr>
      <w:r>
        <w:rPr>
          <w:b/>
          <w:bCs/>
        </w:rPr>
        <w:t>RequestsService</w:t>
      </w:r>
      <w:r>
        <w:rPr/>
        <w:t xml:space="preserve"> реализует жизненный цикл заявки. Создание проверяет права (за себя, за подчинённого, администратор), даты (формат, порядок, не в прошлом), пересечения с собственными заявками и лимит дней. Заявка, оформленная руководителем за подчинённого, сразу согласована. Перенос согласованного отпуска переводит заявку на согласование с сохранением прежних дат в </w:t>
      </w:r>
      <w:r>
        <w:rPr>
          <w:rStyle w:val="VerbatimChar"/>
        </w:rPr>
        <w:t>change_from_*</w:t>
      </w:r>
      <w:r>
        <w:rPr/>
        <w:t xml:space="preserve">; отклонение переноса возвращает прежние даты. Запрос удаления помечает заявку </w:t>
      </w:r>
      <w:r>
        <w:rPr>
          <w:rStyle w:val="VerbatimChar"/>
        </w:rPr>
        <w:t>pending_deletion</w:t>
      </w:r>
      <w:r>
        <w:rPr/>
        <w:t>; согласование удаляет её, а событие остаётся в истории и аудите.</w:t>
      </w:r>
    </w:p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считается по правилам ТК РФ: праздничные нерабочие дни внутри отпуска не входят в число дней отпуска (ст. 120), одна из частей должна быть не короче 14 календарных дней (ст. 125). Доступно для планирования = норма + перенос − согласованные дни − дни на согласовании. При жёсткой политике лимита сервер отклоняет заявку сверх доступного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AnalyticsService</w:t>
      </w:r>
      <w:r>
        <w:rPr/>
        <w:t xml:space="preserve"> строит аналитику отдела на чистых функциях </w:t>
      </w:r>
      <w:r>
        <w:rPr>
          <w:rStyle w:val="VerbatimChar"/>
        </w:rPr>
        <w:t>coverage.ts</w:t>
      </w:r>
      <w:r>
        <w:rPr/>
        <w:t>:</w:t>
      </w:r>
    </w:p>
    <w:p>
      <w:pPr>
        <w:pStyle w:val="Compact"/>
        <w:numPr>
          <w:ilvl w:val="0"/>
          <w:numId w:val="2"/>
        </w:numPr>
        <w:rPr/>
      </w:pPr>
      <w:r>
        <w:rPr/>
        <w:t>доля отдела в отпуске по месяцам (только рабочие дни; отдельно — с учётом заявок на согласовании);</w:t>
      </w:r>
    </w:p>
    <w:p>
      <w:pPr>
        <w:pStyle w:val="Compact"/>
        <w:numPr>
          <w:ilvl w:val="0"/>
          <w:numId w:val="2"/>
        </w:numPr>
        <w:rPr/>
      </w:pPr>
      <w:r>
        <w:rPr/>
        <w:t>периоды конфликтов, когда в отпуске не меньше порога отдела (выходные не разрывают период);</w:t>
      </w:r>
    </w:p>
    <w:p>
      <w:pPr>
        <w:pStyle w:val="Compact"/>
        <w:numPr>
          <w:ilvl w:val="0"/>
          <w:numId w:val="2"/>
        </w:numPr>
        <w:rPr/>
      </w:pPr>
      <w:r>
        <w:rPr/>
        <w:t>выводы руководителю: ближайшие конфликты, пиковый и самый спокойный месяц, нераспределённые дни, сотрудники без части в 14 дней, риски малочисленного отдела;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подбор дат</w:t>
      </w:r>
      <w:r>
        <w:rPr/>
        <w:t>: для заданной длины отпуска перебираются окна периода поиска; окно продлевается на праздники, окна с превышением порога и пересечением с собственными отпусками исключаются, остальные ранжируются по нагрузке на отдел, бонусу за праздники внутри и старту в понедельник; выдаётся до пяти непересекающихся вариантов с объяснением.</w:t>
      </w:r>
    </w:p>
    <w:p>
      <w:pPr>
        <w:pStyle w:val="FirstParagraph"/>
        <w:rPr/>
      </w:pPr>
      <w:r>
        <w:rPr>
          <w:b/>
          <w:bCs/>
        </w:rPr>
        <w:t>ImportsService</w:t>
      </w:r>
      <w:r>
        <w:rPr/>
        <w:t xml:space="preserve"> строит план импорта той же чистой функцией для предпросмотра и применения: строка сопоставляется с сотрудником по логину, без логина — по ФИО; новые сотрудники получают логин транслитом, новые отделы создаются, руководитель может быть создан этим же файлом. Пустая ячейка значение не меняет, поэтому повторная загрузка того же файла ничего не меняет. Применение — одна транзакция с аудитом каждой записи и только при отсутствии ошибок в плане.</w:t>
      </w:r>
    </w:p>
    <w:p>
      <w:pPr>
        <w:pStyle w:val="BodyText"/>
        <w:rPr/>
      </w:pPr>
      <w:r>
        <w:rPr>
          <w:b/>
          <w:bCs/>
        </w:rPr>
        <w:t>MailService</w:t>
      </w:r>
      <w:r>
        <w:rPr/>
        <w:t xml:space="preserve"> реализует шаблон outbox: письмо пишется в таблицу </w:t>
      </w:r>
      <w:r>
        <w:rPr>
          <w:rStyle w:val="VerbatimChar"/>
        </w:rPr>
        <w:t>email_outbox</w:t>
      </w:r>
      <w:r>
        <w:rPr/>
        <w:t xml:space="preserve"> в той же транзакции, что и уведомление, и отправляется фоном. Письма разбираются с </w:t>
      </w:r>
      <w:r>
        <w:rPr>
          <w:rStyle w:val="VerbatimChar"/>
        </w:rPr>
        <w:t>FOR UPDATE SKIP LOCKED</w:t>
      </w:r>
      <w:r>
        <w:rPr/>
        <w:t xml:space="preserve"> и арендой на 5 минут, поэтому несколько экземпляров сервера не отправят письмо дважды, а упавший процесс не удерживает его. Неудачная отправка повторяется через 1, 5, 30 минут, 2 и 12 часов. Еженедельная сводка запускается один раз за неделю — по строке </w:t>
      </w:r>
      <w:r>
        <w:rPr>
          <w:rStyle w:val="VerbatimChar"/>
        </w:rPr>
        <w:t>job_runs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ScheduleService</w:t>
      </w:r>
      <w:r>
        <w:rPr/>
        <w:t xml:space="preserve"> собирает график четырьмя запросами SQL (сотрудники, отпуска, шаблоны и исключения режима работы) и считает конфликты отделов счётчиками по дням. Контроллер сначала читает версию данных, затем данные: так версия не может опередить данные. Готовый ответ кэшируется в памяти процесса (до 64 МБ) по ключу «версия + параметры»; запрос с </w:t>
      </w:r>
      <w:r>
        <w:rPr>
          <w:rStyle w:val="VerbatimChar"/>
        </w:rPr>
        <w:t>If-None-Match</w:t>
      </w:r>
      <w:r>
        <w:rPr/>
        <w:t xml:space="preserve"> текущей версии получает </w:t>
      </w:r>
      <w:r>
        <w:rPr>
          <w:rStyle w:val="VerbatimChar"/>
        </w:rPr>
        <w:t>304</w:t>
      </w:r>
      <w:r>
        <w:rPr/>
        <w:t xml:space="preserve"> без тела.</w:t>
      </w:r>
    </w:p>
    <w:p>
      <w:pPr>
        <w:pStyle w:val="BodyText"/>
        <w:rPr/>
      </w:pPr>
      <w:r>
        <w:rPr>
          <w:b/>
          <w:bCs/>
        </w:rPr>
        <w:t>Согласование</w:t>
      </w:r>
      <w:r>
        <w:rPr/>
        <w:t xml:space="preserve"> считается в одном месте — </w:t>
      </w:r>
      <w:r>
        <w:rPr>
          <w:rStyle w:val="VerbatimChar"/>
        </w:rPr>
        <w:t>approval-scope.ts</w:t>
      </w:r>
      <w:r>
        <w:rPr/>
        <w:t xml:space="preserve">: очередь «ждут моего решения» и право решения строятся из одних правил. Решает руководитель сотрудника, а у сотрудника без руководителя — руководитель отдела; руководитель отдела вправе решать по любому сотруднику отдела; заместитель на период замещения — всё то же за руководителя; вышестоящий — по заявке, переданной ему эскалацией. По своей заявке не решает никто, кроме администратора. </w:t>
      </w:r>
      <w:r>
        <w:rPr>
          <w:b/>
          <w:bCs/>
        </w:rPr>
        <w:t>EscalationService</w:t>
      </w:r>
      <w:r>
        <w:rPr/>
        <w:t xml:space="preserve"> раз в минуту находит заявки без решения дольше </w:t>
      </w:r>
      <w:r>
        <w:rPr>
          <w:rStyle w:val="VerbatimChar"/>
        </w:rPr>
        <w:t>escalationDays</w:t>
      </w:r>
      <w:r>
        <w:rPr/>
        <w:t xml:space="preserve"> (правило организации, 0 — выключено) и передаёт их руководителю согласующего; если выше никого нет — уведомляет кадровую службу. Повторно заявка не передаётся; перенос и запрос удаления начинают отсчёт заново.</w:t>
      </w:r>
    </w:p>
    <w:p>
      <w:pPr>
        <w:pStyle w:val="BodyText"/>
        <w:rPr/>
      </w:pPr>
      <w:r>
        <w:rPr>
          <w:b/>
          <w:bCs/>
        </w:rPr>
        <w:t>NoticesService</w:t>
      </w:r>
      <w:r>
        <w:rPr/>
        <w:t xml:space="preserve"> раз в минуту извещает сотрудников о согласованных ежегодных отпусках, начинающихся в ближайшие </w:t>
      </w:r>
      <w:r>
        <w:rPr>
          <w:rStyle w:val="VerbatimChar"/>
        </w:rPr>
        <w:t>noticeDays</w:t>
      </w:r>
      <w:r>
        <w:rPr/>
        <w:t xml:space="preserve"> дней (не меньше 14): уведомление и письмо со ссылкой на «Мой отпуск», где сотрудник подтверждает ознакомление. Отпуск, согласованный позже чем за две недели, получает извещение сразу с пометкой о праве на перенос (ст. 124). Уникальный ключ «заявка + дата начала» не даёт известить дважды; перенос на новые даты — новое извещение, а прежнее отзывается; отмена отпуска и увольнение тоже отзывают извещение.</w:t>
      </w:r>
    </w:p>
    <w:p>
      <w:pPr>
        <w:pStyle w:val="BodyText"/>
        <w:rPr/>
      </w:pPr>
      <w:r>
        <w:rPr>
          <w:b/>
          <w:bCs/>
        </w:rPr>
        <w:t>PlanningService</w:t>
      </w:r>
      <w:r>
        <w:rPr/>
        <w:t xml:space="preserve"> ведёт кампанию планирования на год: открытие со сроком рассылает приглашение всем штатным сотрудникам одной пачкой, прогресс считается по отпускам, начинающимся в году (согласованным и на согласовании): запланировано ли что-то, выполнена ли норма, есть ли часть не короче 14 дней. Напоминание уходит тем, кто не спланировал полностью: вручную — не чаще раза в час, автоматически — один раз за три дня до срока. Утверждение графика фиксирует снимок согласованных отпусков с реквизитами документа (ADR-016); форма Т-7 строится из снимка, а переносы и отмены после утверждения — по текущим заявкам.</w:t>
      </w:r>
    </w:p>
    <w:p>
      <w:pPr>
        <w:pStyle w:val="BodyText"/>
        <w:rPr/>
      </w:pPr>
      <w:r>
        <w:rPr>
          <w:b/>
          <w:bCs/>
        </w:rPr>
        <w:t>JobsService</w:t>
      </w:r>
      <w:r>
        <w:rPr/>
        <w:t xml:space="preserve"> в каждом процессе раз в </w:t>
      </w:r>
      <w:r>
        <w:rPr>
          <w:rStyle w:val="VerbatimChar"/>
        </w:rPr>
        <w:t>JOBS_POLL_SECONDS</w:t>
      </w:r>
      <w:r>
        <w:rPr/>
        <w:t xml:space="preserve"> (по умолчанию 60) проходит плановые задачи: извещения, эскалацию, напоминания о планировании, очистку журнала входов. Повтор безопасен за счёт ограничений в БД, а не выбора главного процесса (ADR-017).</w:t>
      </w:r>
    </w:p>
    <w:p>
      <w:pPr>
        <w:pStyle w:val="BodyText"/>
        <w:rPr/>
      </w:pPr>
      <w:r>
        <w:rPr>
          <w:b/>
          <w:bCs/>
        </w:rPr>
        <w:t>EventsService</w:t>
      </w:r>
      <w:r>
        <w:rPr/>
        <w:t xml:space="preserve"> держит открытые потоки SSE. Раз в 2 секунды процесс одним запросом находит новые уведомления своих подключённых сотрудников и проверяет версию данных; сотрудник получает </w:t>
      </w:r>
      <w:r>
        <w:rPr>
          <w:rStyle w:val="VerbatimChar"/>
        </w:rPr>
        <w:t>notifications</w:t>
      </w:r>
      <w:r>
        <w:rPr/>
        <w:t xml:space="preserve"> с числом непрочитанных, все — </w:t>
      </w:r>
      <w:r>
        <w:rPr>
          <w:rStyle w:val="VerbatimChar"/>
        </w:rPr>
        <w:t>data</w:t>
      </w:r>
      <w:r>
        <w:rPr/>
        <w:t xml:space="preserve"> при изменении графика (не чаще раза в 15 с). Каждые 25 секунд — пустой комментарий, чтобы прокси не закрыл простаивающее соединение.</w:t>
      </w:r>
    </w:p>
    <w:p>
      <w:pPr>
        <w:pStyle w:val="Heading2"/>
        <w:rPr/>
      </w:pPr>
      <w:bookmarkStart w:id="24" w:name="__RefHeading___Toc3720_844417"/>
      <w:bookmarkStart w:id="25" w:name="обработка-запроса"/>
      <w:bookmarkEnd w:id="24"/>
      <w:r>
        <w:rPr>
          <w:rStyle w:val="SectionNumber"/>
        </w:rPr>
        <w:t>5.3</w:t>
      </w:r>
      <w:r>
        <w:rPr/>
        <w:tab/>
        <w:t>Обработка запроса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5370"/>
            <wp:effectExtent l="0" t="0" r="0" b="0"/>
            <wp:docPr id="6" name="Image6" descr="Маршрут запроса через защиту и валидац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аршрут запроса через защиту и валидацию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Маршрут запроса через защиту и валидацию</w:t>
      </w:r>
    </w:p>
    <w:p>
      <w:pPr>
        <w:pStyle w:val="BodyText"/>
        <w:rPr/>
      </w:pPr>
      <w:r>
        <w:rPr/>
        <w:t xml:space="preserve">Каждый запрос </w:t>
      </w:r>
      <w:r>
        <w:rPr>
          <w:rStyle w:val="VerbatimChar"/>
        </w:rPr>
        <w:t>/api/v1/*</w:t>
      </w:r>
      <w:r>
        <w:rPr/>
        <w:t xml:space="preserve"> проходит ограничение частоты (для входа), глобальную аутентификацию (кроме маршрутов </w:t>
      </w:r>
      <w:r>
        <w:rPr>
          <w:rStyle w:val="VerbatimChar"/>
        </w:rPr>
        <w:t>@Public()</w:t>
      </w:r>
      <w:r>
        <w:rPr/>
        <w:t xml:space="preserve">), сверку версии пароля в токене, активности сотрудника и живости сеанса (смена пароля, увольнение или завершение сеанса отзывает выданные токены; процесс помнит результат проверки 10 секунд и сбрасывает его сразу, если изменение прошло через него), проверку одноразового пароля (до смены доступны только смена пароля и выход — </w:t>
      </w:r>
      <w:r>
        <w:rPr>
          <w:rStyle w:val="VerbatimChar"/>
        </w:rPr>
        <w:t>403 auth/password-change-required</w:t>
      </w:r>
      <w:r>
        <w:rPr/>
        <w:t xml:space="preserve">), проверку роли и DTO-валидацию с </w:t>
      </w:r>
      <w:r>
        <w:rPr>
          <w:rStyle w:val="VerbatimChar"/>
        </w:rPr>
        <w:t>whitelist</w:t>
      </w:r>
      <w:r>
        <w:rPr/>
        <w:t xml:space="preserve">. Все эти сведения guard получает одним запросом к БД. Права на конкретный объект (своя заявка, подчинённый) проверяет сервис. Ошибка любого уровня возвращается как </w:t>
      </w:r>
      <w:r>
        <w:rPr>
          <w:rStyle w:val="VerbatimChar"/>
        </w:rPr>
        <w:t>application/problem+json</w:t>
      </w:r>
      <w:r>
        <w:rPr/>
        <w:t xml:space="preserve"> с кодом из каталога (документ 2).</w:t>
      </w:r>
      <w:bookmarkEnd w:id="25"/>
    </w:p>
    <w:p>
      <w:pPr>
        <w:pStyle w:val="Heading1"/>
        <w:rPr/>
      </w:pPr>
      <w:bookmarkStart w:id="26" w:name="__RefHeading___Toc3722_844417"/>
      <w:bookmarkStart w:id="27" w:name="клиентская-часть"/>
      <w:bookmarkEnd w:id="26"/>
      <w:r>
        <w:rPr>
          <w:rStyle w:val="SectionNumber"/>
        </w:rPr>
        <w:t>6</w:t>
      </w:r>
      <w:r>
        <w:rPr/>
        <w:tab/>
        <w:t>Клиентская часть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073400"/>
            <wp:effectExtent l="0" t="0" r="0" b="0"/>
            <wp:docPr id="7" name="Image7" descr="Слои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Слои клиен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клиента</w:t>
      </w:r>
    </w:p>
    <w:p>
      <w:pPr>
        <w:pStyle w:val="BodyText"/>
        <w:rPr/>
      </w:pPr>
      <w:r>
        <w:rPr/>
        <w:t xml:space="preserve">Клиент — Vue 3 + TypeScript strict + Vite + Pinia без сторонних UI-библиотек: дизайн-система (токены, иконки, паттерны) общая с внутренними продуктами todo-planner и almi_license. Единственный модуль, обращающийся к сети, — </w:t>
      </w:r>
      <w:r>
        <w:rPr>
          <w:rStyle w:val="VerbatimChar"/>
        </w:rPr>
        <w:t>web/src/api/client.ts</w:t>
      </w:r>
      <w:r>
        <w:rPr/>
        <w:t xml:space="preserve">: он добавляет Bearer-токен, при </w:t>
      </w:r>
      <w:r>
        <w:rPr>
          <w:rStyle w:val="VerbatimChar"/>
        </w:rPr>
        <w:t>401</w:t>
      </w:r>
      <w:r>
        <w:rPr/>
        <w:t xml:space="preserve"> один раз обновляет его по httpOnly-cookie (параллельные запросы ждут общий результат обновления, иначе ротация отозвала бы токен) и превращает problem+json в </w:t>
      </w:r>
      <w:r>
        <w:rPr>
          <w:rStyle w:val="VerbatimChar"/>
        </w:rPr>
        <w:t>ApiError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Гант года: масштабы год/квартал/месяц, группы отделов, выходные и праздники, линия «сегодня», полоса нагрузки, слой удалёнки, сравнение выбранных сотрудников, выгрузка в Excel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с кнопкой «Ознакомлен», приглашение кампании планирования с прогрессом, баланс с разбивкой, ближайший отпуск, год одним взглядом, заявка с подбором дат, перенос и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года: выводы, нагрузка по месяцам, конфликты,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и разовые исключения на календаре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«ждут моего решения» (своя команда, замещение, эскалированные) с пересечениями в отделе, отклонение с причиной, оформление отпуска за подчинённого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планирования: срок, прогресс по отделам и сотрудникам, напоминание; утверждение графика и форма Т-7; журнал извещений с выгрузкой и листом для печати под подпись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(учётная запись: блокировка, сеансы, сброс пароля; замещение руководителя), справочники и производственный календарь, правила организации, журнал аудита и журнал входов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письма, смена пароля, свои сеансы на устройствах, замещение на время отсутствия; экран смены одноразового пароля при первом входе</w:t>
            </w:r>
          </w:p>
        </w:tc>
      </w:tr>
    </w:tbl>
    <w:p>
      <w:pPr>
        <w:pStyle w:val="BodyText"/>
        <w:rPr/>
      </w:pPr>
      <w:bookmarkStart w:id="28" w:name="клиентская-часть"/>
      <w:r>
        <w:rPr/>
        <w:t>Тема оформления — светлая, тёмная или по настройке системы; интерфейс адаптирован до ширины 360 px.</w:t>
      </w:r>
      <w:bookmarkEnd w:id="28"/>
    </w:p>
    <w:p>
      <w:pPr>
        <w:pStyle w:val="Heading1"/>
        <w:rPr/>
      </w:pPr>
      <w:bookmarkStart w:id="29" w:name="__RefHeading___Toc3724_844417"/>
      <w:bookmarkStart w:id="30" w:name="модель-данных"/>
      <w:bookmarkEnd w:id="29"/>
      <w:r>
        <w:rPr>
          <w:rStyle w:val="SectionNumber"/>
        </w:rPr>
        <w:t>7</w:t>
      </w:r>
      <w:r>
        <w:rPr/>
        <w:tab/>
        <w:t>Модель данных</w:t>
      </w:r>
    </w:p>
    <w:p>
      <w:pPr>
        <w:pStyle w:val="FirstParagraph"/>
        <w:rPr/>
      </w:pPr>
      <w:r>
        <w:rPr/>
        <w:t xml:space="preserve">Схема описана в </w:t>
      </w:r>
      <w:r>
        <w:rPr>
          <w:rStyle w:val="VerbatimChar"/>
        </w:rPr>
        <w:t>server/prisma/schema.prisma</w:t>
      </w:r>
      <w:r>
        <w:rPr/>
        <w:t xml:space="preserve"> (24 таблицы PostgreSQL); полный словарь данных и инварианты — документ 4.</w:t>
      </w:r>
    </w:p>
    <w:p>
      <w:pPr>
        <w:pStyle w:val="Heading2"/>
        <w:rPr/>
      </w:pPr>
      <w:bookmarkStart w:id="31" w:name="__RefHeading___Toc3726_844417"/>
      <w:bookmarkStart w:id="32" w:name="организация"/>
      <w:bookmarkEnd w:id="31"/>
      <w:r>
        <w:rPr>
          <w:rStyle w:val="SectionNumber"/>
        </w:rPr>
        <w:t>7.1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926195"/>
            <wp:effectExtent l="0" t="0" r="0" b="0"/>
            <wp:docPr id="8" name="Image8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" w:name="организация"/>
      <w:r>
        <w:rPr/>
        <w:t>ER: сотрудники, отделы, проекты, группы</w:t>
      </w:r>
      <w:bookmarkEnd w:id="33"/>
    </w:p>
    <w:p>
      <w:pPr>
        <w:pStyle w:val="Heading2"/>
        <w:rPr/>
      </w:pPr>
      <w:bookmarkStart w:id="34" w:name="__RefHeading___Toc3728_844417"/>
      <w:bookmarkStart w:id="35" w:name="отпуска-и-режим-работы"/>
      <w:bookmarkEnd w:id="34"/>
      <w:r>
        <w:rPr>
          <w:rStyle w:val="SectionNumber"/>
        </w:rPr>
        <w:t>7.2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17875"/>
            <wp:effectExtent l="0" t="0" r="0" b="0"/>
            <wp:docPr id="9" name="Image9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отпуска-и-режим-работы"/>
      <w:r>
        <w:rPr/>
        <w:t>ER: заявки, история, уведомления, режим работы</w:t>
      </w:r>
      <w:bookmarkEnd w:id="36"/>
    </w:p>
    <w:p>
      <w:pPr>
        <w:pStyle w:val="Heading2"/>
        <w:rPr/>
      </w:pPr>
      <w:bookmarkStart w:id="37" w:name="__RefHeading___Toc3730_844417"/>
      <w:bookmarkStart w:id="38" w:name="служебные-данные"/>
      <w:bookmarkEnd w:id="37"/>
      <w:r>
        <w:rPr>
          <w:rStyle w:val="SectionNumber"/>
        </w:rPr>
        <w:t>7.3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00810"/>
            <wp:effectExtent l="0" t="0" r="0" b="0"/>
            <wp:docPr id="10" name="Image10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служебные-данные"/>
      <w:r>
        <w:rPr/>
        <w:t>ER: аудит, сессии, настройки, календарь</w:t>
      </w:r>
      <w:bookmarkEnd w:id="39"/>
    </w:p>
    <w:p>
      <w:pPr>
        <w:pStyle w:val="Heading2"/>
        <w:rPr/>
      </w:pPr>
      <w:bookmarkStart w:id="40" w:name="__RefHeading___Toc3732_844417"/>
      <w:bookmarkStart w:id="41" w:name="кадровый-учёт"/>
      <w:bookmarkEnd w:id="40"/>
      <w:r>
        <w:rPr>
          <w:rStyle w:val="SectionNumber"/>
        </w:rPr>
        <w:t>7.4</w:t>
      </w:r>
      <w:r>
        <w:rPr/>
        <w:tab/>
        <w:t>Кадровый учёт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08935"/>
            <wp:effectExtent l="0" t="0" r="0" b="0"/>
            <wp:docPr id="11" name="Image11" descr="ER: замещение, извещения, кампания и утверждённый граф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ER: замещение, извещения, кампания и утверждённый график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2" w:name="кадровый-учёт"/>
      <w:r>
        <w:rPr/>
        <w:t>ER: замещение, извещения, кампания и утверждённый график</w:t>
      </w:r>
      <w:bookmarkEnd w:id="42"/>
    </w:p>
    <w:p>
      <w:pPr>
        <w:pStyle w:val="Heading2"/>
        <w:rPr/>
      </w:pPr>
      <w:bookmarkStart w:id="43" w:name="__RefHeading___Toc3734_844417"/>
      <w:bookmarkStart w:id="44" w:name="жизненный-цикл-заявки"/>
      <w:bookmarkEnd w:id="43"/>
      <w:r>
        <w:rPr>
          <w:rStyle w:val="SectionNumber"/>
        </w:rPr>
        <w:t>7.5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12" name="Image1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модель-данных"/>
      <w:bookmarkStart w:id="46" w:name="жизненный-цикл-заявки"/>
      <w:r>
        <w:rPr/>
        <w:t>Состояния заявки</w:t>
      </w:r>
      <w:bookmarkEnd w:id="45"/>
      <w:bookmarkEnd w:id="46"/>
    </w:p>
    <w:p>
      <w:pPr>
        <w:pStyle w:val="Heading1"/>
        <w:rPr/>
      </w:pPr>
      <w:bookmarkStart w:id="47" w:name="__RefHeading___Toc3736_844417"/>
      <w:bookmarkStart w:id="48" w:name="ключевые-сценарии"/>
      <w:bookmarkEnd w:id="47"/>
      <w:r>
        <w:rPr>
          <w:rStyle w:val="SectionNumber"/>
        </w:rPr>
        <w:t>8</w:t>
      </w:r>
      <w:r>
        <w:rPr/>
        <w:tab/>
        <w:t>Ключевые сценарии</w:t>
      </w:r>
    </w:p>
    <w:p>
      <w:pPr>
        <w:pStyle w:val="Heading2"/>
        <w:rPr/>
      </w:pPr>
      <w:bookmarkStart w:id="49" w:name="__RefHeading___Toc3738_844417"/>
      <w:bookmarkStart w:id="50" w:name="вход-и-продление-сессии"/>
      <w:bookmarkEnd w:id="49"/>
      <w:r>
        <w:rPr>
          <w:rStyle w:val="SectionNumber"/>
        </w:rPr>
        <w:t>8.1</w:t>
      </w:r>
      <w:r>
        <w:rPr/>
        <w:tab/>
        <w:t>Вход и продление сессии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3" name="Image13" descr="Последовательность входа и обновления ток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оследовательность входа и обновления токен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вход-и-продление-сессии"/>
      <w:r>
        <w:rPr/>
        <w:t>Последовательность входа и обновления токена</w:t>
      </w:r>
      <w:bookmarkEnd w:id="51"/>
    </w:p>
    <w:p>
      <w:pPr>
        <w:pStyle w:val="Heading2"/>
        <w:rPr/>
      </w:pPr>
      <w:bookmarkStart w:id="52" w:name="__RefHeading___Toc3740_844417"/>
      <w:bookmarkStart w:id="53" w:name="подача-заявки"/>
      <w:bookmarkEnd w:id="52"/>
      <w:r>
        <w:rPr>
          <w:rStyle w:val="SectionNumber"/>
        </w:rPr>
        <w:t>8.2</w:t>
      </w:r>
      <w:r>
        <w:rPr/>
        <w:tab/>
        <w:t>Подача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0700"/>
            <wp:effectExtent l="0" t="0" r="0" b="0"/>
            <wp:docPr id="14" name="Image14" descr="Создание заявки: проверки и транза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Создание заявки: проверки и транзакци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подача-заявки"/>
      <w:r>
        <w:rPr/>
        <w:t>Создание заявки: проверки и транзакция</w:t>
      </w:r>
      <w:bookmarkEnd w:id="54"/>
    </w:p>
    <w:p>
      <w:pPr>
        <w:pStyle w:val="Heading2"/>
        <w:rPr/>
      </w:pPr>
      <w:bookmarkStart w:id="55" w:name="__RefHeading___Toc3742_844417"/>
      <w:bookmarkStart w:id="56" w:name="согласование-и-отклонение"/>
      <w:bookmarkEnd w:id="55"/>
      <w:r>
        <w:rPr>
          <w:rStyle w:val="SectionNumber"/>
        </w:rPr>
        <w:t>8.3</w:t>
      </w:r>
      <w:r>
        <w:rPr/>
        <w:tab/>
        <w:t>Согласование и отклонение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15" name="Image15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согласование-и-отклонение"/>
      <w:r>
        <w:rPr/>
        <w:t>Решение руководителя</w:t>
      </w:r>
      <w:bookmarkEnd w:id="57"/>
    </w:p>
    <w:p>
      <w:pPr>
        <w:pStyle w:val="Heading2"/>
        <w:rPr/>
      </w:pPr>
      <w:bookmarkStart w:id="58" w:name="__RefHeading___Toc3744_844417"/>
      <w:bookmarkStart w:id="59" w:name="построение-графика"/>
      <w:bookmarkEnd w:id="58"/>
      <w:r>
        <w:rPr>
          <w:rStyle w:val="SectionNumber"/>
        </w:rPr>
        <w:t>8.4</w:t>
      </w:r>
      <w:r>
        <w:rPr/>
        <w:tab/>
        <w:t>Построение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95110"/>
            <wp:effectExtent l="0" t="0" r="0" b="0"/>
            <wp:docPr id="16" name="Image16" descr="Загрузка графика с конфликтами отде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грузка графика с конфликтами отделов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лючевые-сценарии"/>
      <w:bookmarkStart w:id="61" w:name="построение-графика"/>
      <w:r>
        <w:rPr/>
        <w:t>Загрузка графика с конфликтами отделов</w:t>
      </w:r>
      <w:bookmarkEnd w:id="60"/>
      <w:bookmarkEnd w:id="61"/>
    </w:p>
    <w:p>
      <w:pPr>
        <w:pStyle w:val="Heading1"/>
        <w:rPr/>
      </w:pPr>
      <w:bookmarkStart w:id="62" w:name="__RefHeading___Toc3746_844417"/>
      <w:bookmarkStart w:id="63" w:name="безопасность"/>
      <w:bookmarkEnd w:id="62"/>
      <w:r>
        <w:rPr>
          <w:rStyle w:val="SectionNumber"/>
        </w:rPr>
        <w:t>9</w:t>
      </w:r>
      <w:r>
        <w:rPr/>
        <w:tab/>
        <w:t>Безопасность</w:t>
      </w:r>
    </w:p>
    <w:p>
      <w:pPr>
        <w:pStyle w:val="Heading2"/>
        <w:rPr/>
      </w:pPr>
      <w:bookmarkStart w:id="64" w:name="__RefHeading___Toc3748_844417"/>
      <w:bookmarkEnd w:id="64"/>
      <w:r>
        <w:rPr>
          <w:rStyle w:val="SectionNumber"/>
        </w:rPr>
        <w:t>9.1</w:t>
      </w:r>
      <w:r>
        <w:rPr/>
        <w:tab/>
        <w:t>Аутентификация и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для несуществующего логина проверяется подставной хеш — время ответа не выдаёт, есть ли логин; пароли не попадают в журналы, ответы и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HS256, 15 минут, в памяти вкладки (не в localStorage)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Случайный, в httpOnly-cookie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vp_refresh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(SameSite=Strict, Secure в production, path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в БД хранится только SHA-256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Каждое обновление атомарно отзывает использованный refresh и выдаёт новый; повтор того же токена в течение 30 секунд (параллельные вкладки) получает пару того же сеанса, позже — считается кражей: сеанс завершается целиком, в журнале входов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refresh_reuse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Цепочка refresh-токенов одного входа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 access-токене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видит свои сеансы (устройство, адрес, время) и завершает любой или все остальные, кадровая служба — все сеансы сотрудника; завершённый сеанс теряет доступ и поток событий не позже чем через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lockoutThreshold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неудачных попыток подряд (по умолчанию 10; 0 — выключено) учётная запись блокируется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lockoutMinutes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 умолчанию 15):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423 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при верном пароле, иначе обычный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уведомление, кадровая служба снимает блокировку в карточке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короче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passwordMinLength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(8–64), без логина и фамилии, не из распространённых (с учётом русской раскладки и цифр в конце), не последовательность клавиш или цифр, не из одного-двух символов, не совпадает с текущим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Одноразовый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Пароль, выданный при создании, импорте или сбросе, нужно сменить при первом входе; сброс выдаёт сервер, кадровая служба видит пароль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Смена пароля увеличивает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увольнение снимает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выданные токены перестают действовать (ответ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auth/token-expired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позже 10 секунд в других процессах)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Ограничение частоты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10 попыток в минуту на пару «адрес + логин» и 60 на адрес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429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окна — в PostgreSQL, общие для всех процессов и экземпляров (скользящая оценка по текущей и прошлой минуте); адрес клиента берётся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от доверенных прокси частных сетей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Открывается по одноразовому билету на 60 секунд (отдельная аудитория JWT): токен не попадает в адрес и журналы прокси; при открытии сверяются версия пароля и активность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Ответ на неверный вход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auth/invalid-credentials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указания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Authorization code + PKCE (S256); state, nonce и verifier — в подписанной httpOnly-cookie на 10 минут; id_token проверяется по JWKS (подпись, издатель, получатель, срок, nonce); сотрудник — по логину из утверждения; после входа — та же refresh-cookie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Отключение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пароль остаётся только у администраторов — аварийный вход при недоступности провайдера</w:t>
            </w:r>
            <w:bookmarkStart w:id="65" w:name="аутентификация-и-сессии"/>
            <w:bookmarkEnd w:id="65"/>
          </w:p>
        </w:tc>
      </w:tr>
    </w:tbl>
    <w:p>
      <w:pPr>
        <w:pStyle w:val="Heading2"/>
        <w:rPr/>
      </w:pPr>
      <w:bookmarkStart w:id="66" w:name="__RefHeading___Toc3750_844417"/>
      <w:bookmarkEnd w:id="66"/>
      <w:r>
        <w:rPr>
          <w:rStyle w:val="SectionNumber"/>
        </w:rPr>
        <w:t>9.2</w:t>
      </w:r>
      <w:r>
        <w:rPr/>
        <w:tab/>
        <w:t>Защита запросов</w:t>
      </w:r>
    </w:p>
    <w:p>
      <w:pPr>
        <w:pStyle w:val="FirstParagraph"/>
        <w:rPr/>
      </w:pPr>
      <w:r>
        <w:rPr/>
        <w:t>Глобальные guards применяются ко всем маршрутам по умолчанию; публичные (</w:t>
      </w:r>
      <w:r>
        <w:rPr>
          <w:rStyle w:val="VerbatimChar"/>
        </w:rPr>
        <w:t>/healthz</w:t>
      </w:r>
      <w:r>
        <w:rPr/>
        <w:t xml:space="preserve">, </w:t>
      </w:r>
      <w:r>
        <w:rPr>
          <w:rStyle w:val="VerbatimChar"/>
        </w:rPr>
        <w:t>/readyz</w:t>
      </w:r>
      <w:r>
        <w:rPr/>
        <w:t xml:space="preserve">, </w:t>
      </w:r>
      <w:r>
        <w:rPr>
          <w:rStyle w:val="VerbatimChar"/>
        </w:rPr>
        <w:t>/metrics</w:t>
      </w:r>
      <w:r>
        <w:rPr/>
        <w:t xml:space="preserve">, календарь, вход, обновление, поток событий по билету) отмечены явно. </w:t>
      </w:r>
      <w:r>
        <w:rPr>
          <w:rStyle w:val="VerbatimChar"/>
        </w:rPr>
        <w:t>/metrics</w:t>
      </w:r>
      <w:r>
        <w:rPr/>
        <w:t xml:space="preserve"> не проксируется nginx наружу и может требовать </w:t>
      </w:r>
      <w:r>
        <w:rPr>
          <w:rStyle w:val="VerbatimChar"/>
        </w:rPr>
        <w:t>METRICS_TOKEN</w:t>
      </w:r>
      <w:r>
        <w:rPr/>
        <w:t xml:space="preserve">. DTO-валидация отбрасывает неизвестные поля. Ответы API содержат </w:t>
      </w:r>
      <w:r>
        <w:rPr>
          <w:rStyle w:val="VerbatimChar"/>
        </w:rPr>
        <w:t>X-Content-Type-Options: nosniff</w:t>
      </w:r>
      <w:r>
        <w:rPr/>
        <w:t xml:space="preserve">, </w:t>
      </w:r>
      <w:r>
        <w:rPr>
          <w:rStyle w:val="VerbatimChar"/>
        </w:rPr>
        <w:t>X-Frame-Options: DENY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 xml:space="preserve">, </w:t>
      </w:r>
      <w:r>
        <w:rPr>
          <w:rStyle w:val="VerbatimChar"/>
        </w:rPr>
        <w:t>Permissions-Policy</w:t>
      </w:r>
      <w:r>
        <w:rPr/>
        <w:t>. nginx отдаёт SPA с Content Security Policy (</w:t>
      </w:r>
      <w:r>
        <w:rPr>
          <w:rStyle w:val="VerbatimChar"/>
        </w:rPr>
        <w:t>script-src 'self'</w:t>
      </w:r>
      <w:r>
        <w:rPr/>
        <w:t xml:space="preserve">, без inline-скриптов, </w:t>
      </w:r>
      <w:r>
        <w:rPr>
          <w:rStyle w:val="VerbatimChar"/>
        </w:rPr>
        <w:t>frame-ancestors 'none'</w:t>
      </w:r>
      <w:r>
        <w:rPr/>
        <w:t xml:space="preserve">); e2e-тесты выполняются под той же политикой и падают при её нарушении. В клиенте запрещён </w:t>
      </w:r>
      <w:r>
        <w:rPr>
          <w:rStyle w:val="VerbatimChar"/>
        </w:rPr>
        <w:t>v-html</w:t>
      </w:r>
      <w:r>
        <w:rPr/>
        <w:t>: данные пользователей выводятся только интерполяцией Vue с автоэкранированием.</w:t>
      </w:r>
    </w:p>
    <w:p>
      <w:pPr>
        <w:pStyle w:val="Heading2"/>
        <w:rPr/>
      </w:pPr>
      <w:bookmarkStart w:id="67" w:name="__RefHeading___Toc3752_844417"/>
      <w:bookmarkStart w:id="68" w:name="модель-авторизации"/>
      <w:bookmarkEnd w:id="67"/>
      <w:r>
        <w:rPr>
          <w:rStyle w:val="SectionNumber"/>
        </w:rPr>
        <w:t>9.3</w:t>
      </w:r>
      <w:r>
        <w:rPr/>
        <w:tab/>
        <w:t>Модель авторизации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заявки, баланс и график работы; общий график; команда и аналитика своего отдела; подбор дат для себя; свои извещения и ознакомление с ними; свои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Дополнительно: согласование заявок и оформление отпусков прямых подчинённых (руководитель отдела — и сотрудников отдела без руководителя), их режим работы, аналитика отделов, где работают подчинённые или которыми руководит; передача согласования заместителю на период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период замещения — права руководителя по заявкам его команды: очередь, согласование и отклонение, уведомления о новых; свою заявку не согласует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Вышестоящий по эскалации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Решение по заявке, переданной ему 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дней без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оргструктура, производственный календарь, выгрузки и аналитика всей организации, журнал аудита и журнал входов; блокировки, сеансы и сброс паролей сотрудников; замещение за руководителя; кампания планирования, утверждение графика и форма Т-7; журнал извещений. Не меняет правила организации, не согласует заявки, не меняет учётные записи администраторов и коллег по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Всё: дополнительно правила организации, выдача служебных ролей, согласование любых заявок; последнего администратора разжаловать нельзя</w:t>
            </w:r>
          </w:p>
        </w:tc>
      </w:tr>
    </w:tbl>
    <w:p>
      <w:pPr>
        <w:pStyle w:val="BodyText"/>
        <w:rPr/>
      </w:pPr>
      <w:r>
        <w:rPr/>
        <w:t>Права служебных ролей читаются из БД на каждый запрос (</w:t>
      </w:r>
      <w:r>
        <w:rPr>
          <w:rStyle w:val="VerbatimChar"/>
        </w:rPr>
        <w:t>auth/access.ts</w:t>
      </w:r>
      <w:r>
        <w:rPr/>
        <w:t>), а не из токена: снятие роли действует сразу.</w:t>
      </w:r>
      <w:bookmarkEnd w:id="68"/>
    </w:p>
    <w:p>
      <w:pPr>
        <w:pStyle w:val="Heading2"/>
        <w:rPr/>
      </w:pPr>
      <w:bookmarkStart w:id="69" w:name="__RefHeading___Toc3754_844417"/>
      <w:bookmarkStart w:id="70" w:name="журналирование-и-аудит"/>
      <w:bookmarkEnd w:id="69"/>
      <w:r>
        <w:rPr>
          <w:rStyle w:val="SectionNumber"/>
        </w:rPr>
        <w:t>9.4</w:t>
      </w:r>
      <w:r>
        <w:rPr/>
        <w:tab/>
        <w:t>Журналирование и аудит</w:t>
      </w:r>
    </w:p>
    <w:p>
      <w:pPr>
        <w:pStyle w:val="FirstParagraph"/>
        <w:rPr/>
      </w:pPr>
      <w:r>
        <w:rPr/>
        <w:t xml:space="preserve">Каждое изменение данных пишет запись в </w:t>
      </w:r>
      <w:r>
        <w:rPr>
          <w:rStyle w:val="VerbatimChar"/>
        </w:rPr>
        <w:t>audit_events</w:t>
      </w:r>
      <w:r>
        <w:rPr/>
        <w:t xml:space="preserve"> (кто, когда, действие, объект, значения до и после) в той же транзакции, что и само изменение: запись журнала не может потеряться или появиться без изменения. Журнал только дополняется. Администратор и кадровая служба просматривают его с фильтром по объектам и раскрытием изменённых полей.</w:t>
      </w:r>
    </w:p>
    <w:p>
      <w:pPr>
        <w:pStyle w:val="BodyText"/>
        <w:rPr/>
      </w:pPr>
      <w:r>
        <w:rPr/>
        <w:t xml:space="preserve">Попытки входа пишутся в отдельный журнал </w:t>
      </w:r>
      <w:r>
        <w:rPr>
          <w:rStyle w:val="VerbatimChar"/>
        </w:rPr>
        <w:t>login_events</w:t>
      </w:r>
      <w:r>
        <w:rPr/>
        <w:t xml:space="preserve">: успешный вход паролем и через единый вход, неверный пароль, неизвестный логин, блокировка, отказ по частоте, вход отключённым паролем, неизвестный пользователь единого входа, повтор refresh-токена — с адресом и браузером. Журнал не прерывает вход при ошибке записи; срок хранения — </w:t>
      </w:r>
      <w:r>
        <w:rPr>
          <w:rStyle w:val="VerbatimChar"/>
        </w:rPr>
        <w:t>loginRetentionDays</w:t>
      </w:r>
      <w:r>
        <w:rPr/>
        <w:t xml:space="preserve"> (по умолчанию 365 дней), старые записи удаляет ежедневная задача (ADR-015).</w:t>
      </w:r>
      <w:bookmarkEnd w:id="70"/>
    </w:p>
    <w:p>
      <w:pPr>
        <w:pStyle w:val="Heading2"/>
        <w:rPr/>
      </w:pPr>
      <w:bookmarkStart w:id="71" w:name="__RefHeading___Toc3756_844417"/>
      <w:bookmarkStart w:id="72" w:name="чек-лист-безопасности"/>
      <w:bookmarkEnd w:id="71"/>
      <w:r>
        <w:rPr>
          <w:rStyle w:val="SectionNumber"/>
        </w:rPr>
        <w:t>9.5</w:t>
      </w:r>
      <w:r>
        <w:rPr/>
        <w:tab/>
        <w:t>Чек-лист безопасности</w:t>
      </w:r>
    </w:p>
    <w:p>
      <w:pPr>
        <w:pStyle w:val="FirstParagraph"/>
        <w:rPr/>
      </w:pPr>
      <w:r>
        <w:rPr/>
        <w:t xml:space="preserve">Сводка для приёмки службой ИБ (E62-05): требование, как оно выполнено и чем подтверждается. Тесты — в </w:t>
      </w:r>
      <w:r>
        <w:rPr>
          <w:rStyle w:val="VerbatimChar"/>
        </w:rPr>
        <w:t>server/test</w:t>
      </w:r>
      <w:r>
        <w:rPr/>
        <w:t xml:space="preserve"> и </w:t>
      </w:r>
      <w:r>
        <w:rPr>
          <w:rStyle w:val="VerbatimChar"/>
        </w:rPr>
        <w:t>web/e2e</w:t>
      </w:r>
      <w:r>
        <w:rPr/>
        <w:t>, выполняются в CI на каждый push.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3"/>
        <w:gridCol w:w="1838"/>
        <w:gridCol w:w="5015"/>
        <w:gridCol w:w="2173"/>
      </w:tblGrid>
      <w:tr>
        <w:trPr>
          <w:tblHeader w:val="true"/>
        </w:trPr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№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Как выполнено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Идентификация и аутентификация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или единый вход OIDC (authorization code + PKCE, проверка id_token по JWKS); единый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причины;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оставляет пароль только администраторам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время, подставной хеш для неизвестного логина; пароли не попадают в журналы, ответы и выгрузки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passwords.unit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Длина — правило организации (8–64), запрет логина, фамилии, распространённых паролей, последовательностей и текущего пароля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Первичный пароль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Выданный кадровой службой пароль — одноразовый: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auth/password-change-required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сброс генерирует сервер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«одноразовый пароль»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подбора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частоты (10 в минуту на адрес и логин, 60 на адрес) и временная блокировка учётной записи после серии неудачных попыток с уведомлением сотрудника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лимит на двух экземплярах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Управление сеансами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 15 минут в памяти вкладки; refresh в httpOnly-cookie (SameSite=Strict, Secure); атомарная ротация и обнаружение повтора; список и завершение сеансов сотрудником и кадровой службой; смена пароля и увольнение отзывают все сеансы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«сброс пароля»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Разграничение доступа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Роли и права объектов проверяются на сервере в каждом запросе, служебные права читаются из БД; заместитель и эскалация — по тем же правилам, что очередь согласования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staff.e2e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Регистрация событий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с адресом и браузером, срок хранения; журнал изменений в транзакции изменения, только дополняется; выгрузки отчётов — в журнале изменений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audit-fixes.e2e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веб-атак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Параметризованный SQL (Prisma,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$queryRaw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параметрами); DTO-валидация с отбрасыванием неизвестных полей; CSP без inline-скриптов,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X-Frame-Options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nosniff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запрещён; refresh-cookie SameSite=Strict и Bearer-токен против CSRF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e2e «CSP стенда не нарушается»,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Обработка ошибок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problem+json с кодом из каталога; внутренние ошибки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деталей, детали — в журнале сервера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каталог ошибок (документ 2)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Конфиденциальность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Токен потока событий — одноразовый билет вне адреса; адреса и браузеры — только в журнале входов, доступ — кадровой службе; выгрузки без логинов и паролей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Секреты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из окружения;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короче 32 символов проверяется при старте;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METRICS_TOKEN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для метрик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deployment-guide.md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старт сервера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и лицензии компонентов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SBOM CycloneDX 1.5, лицензионный гейт (copyleft и неизвестные лицензии — блокер), новые зависимости — 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«SBOM и лицензии», документ 11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 и восстановление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Ежедневный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реплика и архив WAL, переключение на реплику по инструкции (ADR-014)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«Реплика PostgreSQL, архив WAL и переключение»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Устойчивость к нагрузке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 одновременных пользователей на 5000 в базе без ошибок; при перегрузке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docs/progress/load-v0.6.0.md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 без потери данных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применяются при старте; CI проверяет обновление с данными предыдущей версии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scripts/upgrade-check.sh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шаг CI «Обновление с прошлого выпуска на данных»</w:t>
            </w:r>
          </w:p>
        </w:tc>
      </w:tr>
    </w:tbl>
    <w:p>
      <w:pPr>
        <w:pStyle w:val="BodyText"/>
        <w:rPr/>
      </w:pPr>
      <w:r>
        <w:rPr/>
        <w:t xml:space="preserve">Настраивает организация при развёртывании (руководство по развёртыванию): TLS-сертификат и перенаправление на HTTPS на nginx или балансировщике, провайдер единого входа, SMTP, отдельное хранилище резервных копий и архива WAL, сетевой доступ к </w:t>
      </w:r>
      <w:r>
        <w:rPr>
          <w:rStyle w:val="VerbatimChar"/>
        </w:rPr>
        <w:t>/metrics</w:t>
      </w:r>
      <w:r>
        <w:rPr/>
        <w:t xml:space="preserve"> только для мониторинга, правила организации по паролям и блокировке.</w:t>
      </w:r>
      <w:bookmarkEnd w:id="63"/>
      <w:bookmarkEnd w:id="72"/>
    </w:p>
    <w:p>
      <w:pPr>
        <w:pStyle w:val="Heading1"/>
        <w:rPr/>
      </w:pPr>
      <w:bookmarkStart w:id="73" w:name="__RefHeading___Toc3758_844417"/>
      <w:bookmarkEnd w:id="73"/>
      <w:r>
        <w:rPr>
          <w:rStyle w:val="SectionNumber"/>
        </w:rPr>
        <w:t>10</w:t>
      </w:r>
      <w:r>
        <w:rPr/>
        <w:tab/>
        <w:t>Программный интерфейс</w:t>
      </w:r>
    </w:p>
    <w:p>
      <w:pPr>
        <w:pStyle w:val="FirstParagraph"/>
        <w:rPr/>
      </w:pPr>
      <w:r>
        <w:rPr/>
        <w:t xml:space="preserve">REST API v1 — JSON по HTTPS с префиксом </w:t>
      </w:r>
      <w:r>
        <w:rPr>
          <w:rStyle w:val="VerbatimChar"/>
        </w:rPr>
        <w:t>/api/v1</w:t>
      </w:r>
      <w:r>
        <w:rPr/>
        <w:t xml:space="preserve">, описание — OpenAPI 3.1 в </w:t>
      </w:r>
      <w:r>
        <w:rPr>
          <w:rStyle w:val="VerbatimChar"/>
        </w:rPr>
        <w:t>contracts/</w:t>
      </w:r>
      <w:r>
        <w:rPr/>
        <w:t xml:space="preserve">. Реализация публикует интерактивную спецификацию на </w:t>
      </w:r>
      <w:r>
        <w:rPr>
          <w:rStyle w:val="VerbatimChar"/>
        </w:rPr>
        <w:t>/api/docs</w:t>
      </w:r>
      <w:r>
        <w:rPr/>
        <w:t>. Полный каталог операций с правами и кодами ошибок — документ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вход, обновление, выход, профиль и личные настройки, смена пароля, политика паролей, свои сеансы и их завершение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(свои, подчинённых, все), создание, изменение и перенос, отмена или запрос удаления, согласование, отклонение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режим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за период с конфликтами; шаблон и исключения режима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доступные отделы, обзор года, состав на дату,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группы, календарь (чтение и правка), правила организации, проверочное письмо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и остатки из XLSX/CSV и JSON, шаблон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прогресс, напоминание, утверждение графика, форма Т-7; извещения, ознакомление и журнал извещений; замещение руководителя; журнал входов, блокировка и сеансы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поток событий (SSE), журнал аудита, выгрузка XLSX, пробы</w:t>
            </w:r>
            <w:bookmarkStart w:id="74" w:name="программный-интерфейс"/>
            <w:bookmarkEnd w:id="74"/>
          </w:p>
        </w:tc>
      </w:tr>
    </w:tbl>
    <w:p>
      <w:pPr>
        <w:pStyle w:val="Heading1"/>
        <w:rPr/>
      </w:pPr>
      <w:bookmarkStart w:id="75" w:name="__RefHeading___Toc3760_844417"/>
      <w:bookmarkEnd w:id="75"/>
      <w:r>
        <w:rPr>
          <w:rStyle w:val="SectionNumber"/>
        </w:rPr>
        <w:t>11</w:t>
      </w:r>
      <w:r>
        <w:rPr/>
        <w:tab/>
        <w:t>Наблюдаемость и эксплуатация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Живость и готовность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(запрос к БД); healthcheck контейнера PostgreSQL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формате Prometheus: задержки и коды по шаблонам маршрутов, задержка цикла событий, память и процессор, потоки SSE; из БД — соединения по состояниям, очередь писем, фоновые задачи, реплики и архив WAL. Процессы кластера складываются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Оповещения и панель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правил: доступность, 5xx, p95, перегрузка БД, реплика, архив, почта)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grafana-dashboard.json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stdout контейнеров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уровни log/warn/error; журнал входов и журнал изменений — в интерфейсе («Журнал аудита»)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Извещения, эскалация, напоминания о планировании, очистка журнала входов — в каждом процессе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(ADR-017); ошибки — в журнале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свободного соединения или БД недоступна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 service-unavailable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счётчик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сутки, 14 дней.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реплика, архив WAL и ежедневные физические копии (ADR-014)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 pull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миграции применяются при старте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Целевые показатели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 репликой и архивом WAL: RPO — секунды (реплика) или до 5 минут (архив), RTO 15 минут. Без них: RPO 24 ч, RTO 1 ч. p95 ≤ 300 мс на чтение и ≤ 500 мс на запись при 500 одновременных пользователях</w:t>
            </w:r>
          </w:p>
        </w:tc>
      </w:tr>
    </w:tbl>
    <w:p>
      <w:pPr>
        <w:pStyle w:val="Heading1"/>
        <w:rPr/>
      </w:pPr>
      <w:bookmarkStart w:id="76" w:name="__RefHeading___Toc3762_844417"/>
      <w:bookmarkEnd w:id="76"/>
      <w:r>
        <w:rPr>
          <w:rStyle w:val="SectionNumber"/>
        </w:rPr>
        <w:t>12</w:t>
      </w:r>
      <w:r>
        <w:rPr/>
        <w:tab/>
        <w:t>Технологический стек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Технологии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20/22, NestJS 11, TypeScript 5 strict, class-validator, exceljs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17, Prisma 6 (схема, миграции, клиент)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3.5, Vite 6, Pinia, vue-router 4, собственные компоненты и иконки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Vitest + supertest (API на тестовой БД), Vitest (модули клиента), Playwright (e2e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9, vue-tsc, тест сверки контракта, лицензионный гейт SBOM (CycloneDX 1.5)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Поставка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multi-stage, docker compose, nginx; GitHub Actions и Gitea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Markdown → pandoc → PDF (Chromium) и DOCX; схемы Mermaid и HTML → PNG</w:t>
            </w:r>
          </w:p>
        </w:tc>
      </w:tr>
    </w:tbl>
    <w:p>
      <w:pPr>
        <w:pStyle w:val="Heading1"/>
        <w:rPr/>
      </w:pPr>
      <w:bookmarkStart w:id="77" w:name="__RefHeading___Toc3764_844417"/>
      <w:bookmarkEnd w:id="77"/>
      <w:r>
        <w:rPr>
          <w:rStyle w:val="SectionNumber"/>
        </w:rPr>
        <w:t>13</w:t>
      </w:r>
      <w:r>
        <w:rPr/>
        <w:tab/>
        <w:t>Ключевые решения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Альтернатива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Обоснование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Модульный монолит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Микросервисы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до 5000 пользователей обслуживается одним процессом; DI, guards и OpenAPI из коробки; модули повторяют предметные области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с первой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 с последующим переходом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Конкурентная запись, транзакции, репликация; нет миграционного долга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Prisma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TypeORM, SQL вручную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Типобезопасные запросы, схема как документация, миграции с ревью SQL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+ refresh с ротацией в БД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без состояния для горизонтального масштабирования; отзыв через таблицу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scrypt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node:crypto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bcrypt, argon2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нативных зависимостей, достаточная стойкость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UI без библиотек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PrimeVue, Quasar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Единая дизайн-система продуктов; минимальный SBOM для реестра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 транзакции изменения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Асинхронные события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всегда согласован с данными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на сервере чистыми функциями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Одинаковые правила для всех клиентов; тестируемость; данные других отделов не уходят в браузер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Общее состояние в PostgreSQL (ADR-012)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Redis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хранилище в поставке и резервном копировании; нагрузки 5000 пользователей хватает с запасом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SSE и опрос БД (ADR-013)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WebSocket, брокер сообщений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Сигналу «есть изменения» не нужен двусторонний канал; без брокера — меньше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 штатно (ADR-014)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Patroni, repmgr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и RTO требований достигаются без сервиса согласования и лишних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реестр метрик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prom-client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Нужна малая часть библиотеки; сложение процессов кластера всё равно требует своей обвязки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Сеансы — цепочки refresh-токенов, блокировка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сессии, блокировка по адресу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нового хранилища; блокировка не сбрасывает кэш графика; кража токена видна при первом повторе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Утверждённый график — снимок (ADR-016)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Пометка на заявках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Запланированная дата формы Т-7 неизменна, переносы видны по текущим заявкам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с идемпотентностью в БД (ADR-017)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планировщик, выбор лидера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 при любом числе процессов и экземпляров без новых компонентов</w:t>
            </w:r>
          </w:p>
        </w:tc>
      </w:tr>
    </w:tbl>
    <w:p>
      <w:pPr>
        <w:pStyle w:val="BodyText"/>
        <w:rPr/>
      </w:pPr>
      <w:r>
        <w:rPr/>
        <w:t xml:space="preserve">Полные записи — </w:t>
      </w:r>
      <w:r>
        <w:rPr>
          <w:rStyle w:val="VerbatimChar"/>
        </w:rPr>
        <w:t>docs/adr/</w:t>
      </w:r>
      <w:r>
        <w:rPr/>
        <w:t>.</w:t>
      </w:r>
    </w:p>
    <w:p>
      <w:pPr>
        <w:pStyle w:val="Heading1"/>
        <w:rPr/>
      </w:pPr>
      <w:bookmarkStart w:id="78" w:name="__RefHeading___Toc3766_844417"/>
      <w:bookmarkEnd w:id="78"/>
      <w:r>
        <w:rPr>
          <w:rStyle w:val="SectionNumber"/>
        </w:rPr>
        <w:t>14</w:t>
      </w:r>
      <w:r>
        <w:rPr/>
        <w:tab/>
        <w:t>План развития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XLSX-выгрузки, ограничение частоты входа, security-заголовки, полосы Ганта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и новые схемы; новый интерфейс и иконки; праздники в балансе; аналитика пересечений и подбор дат; график работы, панель команды, сравнение; резервное копирование; e2e интерфейса и сверка контракта в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о заявках и еженедельная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5000: кластер процессов, кэш графика, нагрузочная валидация, метрики Prometheus, реплика и архив WAL, живые обновления, мгновенный отзыв сеанса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за две недели; замещение и эскалация согласования; журнал входов, блокировка, сеансы, политика паролей, чек-лист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79" w:name="план-развития"/>
            <w:bookmarkEnd w:id="79"/>
          </w:p>
        </w:tc>
      </w:tr>
    </w:tbl>
    <w:sectPr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2026-10-29T08:18:22Z</dcterms:created>
  <dc:creator/>
  <dc:description/>
  <dc:language>en-US</dc:language>
  <cp:lastModifiedBy/>
  <dcterms:modified xsi:type="dcterms:W3CDTF">2026-10-29T08:18:33Z</dcterms:modified>
  <cp:revision>1</cp:revision>
  <dc:subject/>
  <dc:title>Описание архитектуры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Платформа, компоненты, решения и план развития</vt:lpwstr>
  </property>
  <property fmtid="{D5CDD505-2E9C-101B-9397-08002B2CF9AE}" pid="4" name="toc-title">
    <vt:lpwstr>Содержание</vt:lpwstr>
  </property>
</Properties>
</file>