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4F72"/>
          <w:sz w:val="56"/>
          <w:szCs w:val="56"/>
        </w:rPr>
        <w:t xml:space="preserve">AYURGATE</w:t>
      </w:r>
    </w:p>
    <w:p>
      <w:pPr>
        <w:spacing w:after="100"/>
        <w:jc w:val="center"/>
      </w:pPr>
      <w:r>
        <w:rPr>
          <w:rFonts w:ascii="Arial" w:cs="Arial" w:eastAsia="Arial" w:hAnsi="Arial"/>
          <w:color w:val="2E75B6"/>
          <w:sz w:val="32"/>
          <w:szCs w:val="32"/>
        </w:rPr>
        <w:t xml:space="preserve">Clinic Management Platform</w:t>
      </w:r>
    </w:p>
    <w:p>
      <w:pPr>
        <w:spacing w:after="80"/>
      </w:pPr>
    </w:p>
    <w:p>
      <w:pPr>
        <w:pBdr>
          <w:bottom w:val="single" w:color="2E75B6" w:sz="6" w:space="1"/>
        </w:pBdr>
        <w:spacing w:after="60"/>
        <w:jc w:val="center"/>
      </w:pPr>
    </w:p>
    <w:p>
      <w:pPr>
        <w:spacing w:after="80"/>
      </w:pPr>
    </w:p>
    <w:p>
      <w:pPr>
        <w:spacing w:after="80"/>
      </w:pPr>
    </w:p>
    <w:p>
      <w:pPr>
        <w:spacing w:after="200"/>
        <w:jc w:val="center"/>
      </w:pPr>
      <w:r>
        <w:rPr>
          <w:rFonts w:ascii="Arial" w:cs="Arial" w:eastAsia="Arial" w:hAnsi="Arial"/>
          <w:b/>
          <w:bCs/>
          <w:color w:val="404040"/>
          <w:sz w:val="28"/>
          <w:szCs w:val="28"/>
        </w:rPr>
        <w:t xml:space="preserve">System Architecture &amp; Technical Documentation</w:t>
      </w:r>
    </w:p>
    <w:p>
      <w:pPr>
        <w:spacing w:after="80"/>
      </w:pPr>
    </w:p>
    <w:p>
      <w:pPr>
        <w:spacing w:after="80"/>
      </w:pPr>
    </w:p>
    <w:p>
      <w:pPr>
        <w:spacing w:after="80"/>
        <w:jc w:val="center"/>
      </w:pPr>
      <w:r>
        <w:rPr>
          <w:rFonts w:ascii="Arial" w:cs="Arial" w:eastAsia="Arial" w:hAnsi="Arial"/>
          <w:color w:val="666666"/>
          <w:sz w:val="22"/>
          <w:szCs w:val="22"/>
        </w:rPr>
        <w:t xml:space="preserve">Version 1.0</w:t>
      </w:r>
    </w:p>
    <w:p>
      <w:pPr>
        <w:spacing w:after="80"/>
        <w:jc w:val="center"/>
      </w:pPr>
      <w:r>
        <w:rPr>
          <w:rFonts w:ascii="Arial" w:cs="Arial" w:eastAsia="Arial" w:hAnsi="Arial"/>
          <w:color w:val="666666"/>
          <w:sz w:val="22"/>
          <w:szCs w:val="22"/>
        </w:rPr>
        <w:t xml:space="preserve">April 2026</w:t>
      </w:r>
    </w:p>
    <w:p>
      <w:pPr>
        <w:spacing w:after="80"/>
        <w:jc w:val="center"/>
      </w:pPr>
      <w:r>
        <w:rPr>
          <w:rFonts w:ascii="Arial" w:cs="Arial" w:eastAsia="Arial" w:hAnsi="Arial"/>
          <w:b/>
          <w:bCs/>
          <w:color w:val="CC0000"/>
          <w:sz w:val="22"/>
          <w:szCs w:val="22"/>
        </w:rPr>
        <w:t xml:space="preserve">CONFIDENTIAL</w:t>
      </w:r>
    </w:p>
    <w:p>
      <w:pPr>
        <w:spacing w:after="80"/>
      </w:pPr>
    </w:p>
    <w:p>
      <w:pPr>
        <w:spacing w:after="80"/>
      </w:pPr>
    </w:p>
    <w:p>
      <w:pPr>
        <w:spacing w:after="80"/>
      </w:pPr>
    </w:p>
    <w:p>
      <w:pPr>
        <w:spacing w:after="80"/>
      </w:pPr>
    </w:p>
    <w:p>
      <w:pPr>
        <w:spacing w:after="80"/>
      </w:pPr>
    </w:p>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Pr>
          <w:p>
            <w:r>
              <w:rPr>
                <w:rFonts w:ascii="Arial" w:cs="Arial" w:eastAsia="Arial" w:hAnsi="Arial"/>
                <w:color w:val="666666"/>
                <w:sz w:val="18"/>
                <w:szCs w:val="18"/>
              </w:rPr>
              <w:t xml:space="preserve">Prepared by:</w:t>
            </w:r>
          </w:p>
        </w:tc>
        <w:tc>
          <w:tcPr>
            <w:tcW w:type="dxa" w:w="3000"/>
            <w:tcBorders>
              <w:top w:val="none" w:sz="0"/>
              <w:left w:val="none" w:sz="0"/>
              <w:bottom w:val="none" w:sz="0"/>
              <w:right w:val="none" w:sz="0"/>
            </w:tcBorders>
          </w:tcPr>
          <w:p>
            <w:r>
              <w:rPr>
                <w:rFonts w:ascii="Arial" w:cs="Arial" w:eastAsia="Arial" w:hAnsi="Arial"/>
                <w:sz w:val="18"/>
                <w:szCs w:val="18"/>
              </w:rPr>
              <w:t xml:space="preserve">Karthikeyan Periyasami</w:t>
            </w:r>
          </w:p>
        </w:tc>
      </w:tr>
      <w:tr>
        <w:tc>
          <w:tcPr>
            <w:tcW w:type="dxa" w:w="2000"/>
            <w:tcBorders>
              <w:top w:val="none" w:sz="0"/>
              <w:left w:val="none" w:sz="0"/>
              <w:bottom w:val="none" w:sz="0"/>
              <w:right w:val="none" w:sz="0"/>
            </w:tcBorders>
          </w:tcPr>
          <w:p>
            <w:r>
              <w:rPr>
                <w:rFonts w:ascii="Arial" w:cs="Arial" w:eastAsia="Arial" w:hAnsi="Arial"/>
                <w:color w:val="666666"/>
                <w:sz w:val="18"/>
                <w:szCs w:val="18"/>
              </w:rPr>
              <w:t xml:space="preserve">Company:</w:t>
            </w:r>
          </w:p>
        </w:tc>
        <w:tc>
          <w:tcPr>
            <w:tcW w:type="dxa" w:w="3000"/>
            <w:tcBorders>
              <w:top w:val="none" w:sz="0"/>
              <w:left w:val="none" w:sz="0"/>
              <w:bottom w:val="none" w:sz="0"/>
              <w:right w:val="none" w:sz="0"/>
            </w:tcBorders>
          </w:tcPr>
          <w:p>
            <w:r>
              <w:rPr>
                <w:rFonts w:ascii="Arial" w:cs="Arial" w:eastAsia="Arial" w:hAnsi="Arial"/>
                <w:sz w:val="18"/>
                <w:szCs w:val="18"/>
              </w:rPr>
              <w:t xml:space="preserve">Ayur Centre Pte. Ltd.</w:t>
            </w:r>
          </w:p>
        </w:tc>
      </w:tr>
      <w:tr>
        <w:tc>
          <w:tcPr>
            <w:tcW w:type="dxa" w:w="2000"/>
            <w:tcBorders>
              <w:top w:val="none" w:sz="0"/>
              <w:left w:val="none" w:sz="0"/>
              <w:bottom w:val="none" w:sz="0"/>
              <w:right w:val="none" w:sz="0"/>
            </w:tcBorders>
          </w:tcPr>
          <w:p>
            <w:r>
              <w:rPr>
                <w:rFonts w:ascii="Arial" w:cs="Arial" w:eastAsia="Arial" w:hAnsi="Arial"/>
                <w:color w:val="666666"/>
                <w:sz w:val="18"/>
                <w:szCs w:val="18"/>
              </w:rPr>
              <w:t xml:space="preserve">Domain:</w:t>
            </w:r>
          </w:p>
        </w:tc>
        <w:tc>
          <w:tcPr>
            <w:tcW w:type="dxa" w:w="3000"/>
            <w:tcBorders>
              <w:top w:val="none" w:sz="0"/>
              <w:left w:val="none" w:sz="0"/>
              <w:bottom w:val="none" w:sz="0"/>
              <w:right w:val="none" w:sz="0"/>
            </w:tcBorders>
          </w:tcPr>
          <w:p>
            <w:r>
              <w:rPr>
                <w:rFonts w:ascii="Arial" w:cs="Arial" w:eastAsia="Arial" w:hAnsi="Arial"/>
                <w:sz w:val="18"/>
                <w:szCs w:val="18"/>
              </w:rPr>
              <w:t xml:space="preserve">www.ayurgate.com</w:t>
            </w:r>
          </w:p>
        </w:tc>
      </w:tr>
    </w:tbl>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2"/>
          <w:szCs w:val="32"/>
        </w:rPr>
        <w:t xml:space="preserve">1. Project Overview</w:t>
      </w:r>
    </w:p>
    <w:p>
      <w:pPr>
        <w:pStyle w:val="Heading2"/>
        <w:spacing w:after="160" w:before="280"/>
      </w:pPr>
      <w:r>
        <w:rPr>
          <w:rFonts w:ascii="Arial" w:cs="Arial" w:eastAsia="Arial" w:hAnsi="Arial"/>
          <w:b/>
          <w:bCs/>
          <w:color w:val="2E75B6"/>
          <w:sz w:val="26"/>
          <w:szCs w:val="26"/>
        </w:rPr>
        <w:t xml:space="preserve">1.1 Purpose</w:t>
      </w:r>
    </w:p>
    <w:p>
      <w:pPr>
        <w:spacing w:after="120"/>
      </w:pPr>
      <w:r>
        <w:rPr>
          <w:rFonts w:ascii="Arial" w:cs="Arial" w:eastAsia="Arial" w:hAnsi="Arial"/>
          <w:sz w:val="20"/>
          <w:szCs w:val="20"/>
        </w:rPr>
        <w:t xml:space="preserve">AyurGate is a multi-tenant, cloud-hosted clinic management platform purpose-built for Ayurvedic and wellness clinics. It provides a unified system to manage patients, appointments, treatments, billing, inventory, payroll, and HR compliance — replacing fragmented tools like Practo, Excel spreadsheets, and manual record-keeping.</w:t>
      </w:r>
    </w:p>
    <w:p>
      <w:pPr>
        <w:pStyle w:val="Heading2"/>
        <w:spacing w:after="160" w:before="280"/>
      </w:pPr>
      <w:r>
        <w:rPr>
          <w:rFonts w:ascii="Arial" w:cs="Arial" w:eastAsia="Arial" w:hAnsi="Arial"/>
          <w:b/>
          <w:bCs/>
          <w:color w:val="2E75B6"/>
          <w:sz w:val="26"/>
          <w:szCs w:val="26"/>
        </w:rPr>
        <w:t xml:space="preserve">1.2 Business Context</w:t>
      </w:r>
    </w:p>
    <w:p>
      <w:pPr>
        <w:spacing w:after="120"/>
      </w:pPr>
      <w:r>
        <w:rPr>
          <w:rFonts w:ascii="Arial" w:cs="Arial" w:eastAsia="Arial" w:hAnsi="Arial"/>
          <w:sz w:val="20"/>
          <w:szCs w:val="20"/>
        </w:rPr>
        <w:t xml:space="preserve">AyurGate is developed by Ayur Centre Pte. Ltd., a Singapore-based Ayurvedic healthcare provider operating two branches (Bedok and Jurong). The platform is being built first for internal use, then offered as a SaaS product to other Ayurvedic and wellness clinics globally.</w:t>
      </w:r>
    </w:p>
    <w:p>
      <w:pPr>
        <w:pStyle w:val="Heading2"/>
        <w:spacing w:after="160" w:before="280"/>
      </w:pPr>
      <w:r>
        <w:rPr>
          <w:rFonts w:ascii="Arial" w:cs="Arial" w:eastAsia="Arial" w:hAnsi="Arial"/>
          <w:b/>
          <w:bCs/>
          <w:color w:val="2E75B6"/>
          <w:sz w:val="26"/>
          <w:szCs w:val="26"/>
        </w:rPr>
        <w:t xml:space="preserve">1.3 Goals</w:t>
      </w:r>
    </w:p>
    <w:p>
      <w:pPr>
        <w:pStyle w:val="ListParagraph"/>
        <w:numPr>
          <w:ilvl w:val="0"/>
          <w:numId w:val="2"/>
        </w:numPr>
        <w:spacing w:after="80"/>
      </w:pPr>
      <w:r>
        <w:rPr>
          <w:rFonts w:ascii="Arial" w:cs="Arial" w:eastAsia="Arial" w:hAnsi="Arial"/>
          <w:sz w:val="20"/>
          <w:szCs w:val="20"/>
        </w:rPr>
        <w:t xml:space="preserve">Replace Practo and manual workflows with a single integrated platform</w:t>
      </w:r>
    </w:p>
    <w:p>
      <w:pPr>
        <w:pStyle w:val="ListParagraph"/>
        <w:numPr>
          <w:ilvl w:val="0"/>
          <w:numId w:val="2"/>
        </w:numPr>
        <w:spacing w:after="80"/>
      </w:pPr>
      <w:r>
        <w:rPr>
          <w:rFonts w:ascii="Arial" w:cs="Arial" w:eastAsia="Arial" w:hAnsi="Arial"/>
          <w:sz w:val="20"/>
          <w:szCs w:val="20"/>
        </w:rPr>
        <w:t xml:space="preserve">Multi-tenant SaaS: each clinic gets isolated data with shared infrastructure</w:t>
      </w:r>
    </w:p>
    <w:p>
      <w:pPr>
        <w:pStyle w:val="ListParagraph"/>
        <w:numPr>
          <w:ilvl w:val="0"/>
          <w:numId w:val="2"/>
        </w:numPr>
        <w:spacing w:after="80"/>
      </w:pPr>
      <w:r>
        <w:rPr>
          <w:rFonts w:ascii="Arial" w:cs="Arial" w:eastAsia="Arial" w:hAnsi="Arial"/>
          <w:sz w:val="20"/>
          <w:szCs w:val="20"/>
        </w:rPr>
        <w:t xml:space="preserve">Singapore regulatory compliance: CPF, MOM KET, SDL, SHG funds</w:t>
      </w:r>
    </w:p>
    <w:p>
      <w:pPr>
        <w:pStyle w:val="ListParagraph"/>
        <w:numPr>
          <w:ilvl w:val="0"/>
          <w:numId w:val="2"/>
        </w:numPr>
        <w:spacing w:after="80"/>
      </w:pPr>
      <w:r>
        <w:rPr>
          <w:rFonts w:ascii="Arial" w:cs="Arial" w:eastAsia="Arial" w:hAnsi="Arial"/>
          <w:sz w:val="20"/>
          <w:szCs w:val="20"/>
        </w:rPr>
        <w:t xml:space="preserve">Multi-branch support with inter-branch inventory transfers</w:t>
      </w:r>
    </w:p>
    <w:p>
      <w:pPr>
        <w:pStyle w:val="ListParagraph"/>
        <w:numPr>
          <w:ilvl w:val="0"/>
          <w:numId w:val="2"/>
        </w:numPr>
        <w:spacing w:after="80"/>
      </w:pPr>
      <w:r>
        <w:rPr>
          <w:rFonts w:ascii="Arial" w:cs="Arial" w:eastAsia="Arial" w:hAnsi="Arial"/>
          <w:sz w:val="20"/>
          <w:szCs w:val="20"/>
        </w:rPr>
        <w:t xml:space="preserve">Patient portal for self-service booking, prescriptions, and feedback</w:t>
      </w:r>
    </w:p>
    <w:p>
      <w:pPr>
        <w:pStyle w:val="ListParagraph"/>
        <w:numPr>
          <w:ilvl w:val="0"/>
          <w:numId w:val="2"/>
        </w:numPr>
        <w:spacing w:after="80"/>
      </w:pPr>
      <w:r>
        <w:rPr>
          <w:rFonts w:ascii="Arial" w:cs="Arial" w:eastAsia="Arial" w:hAnsi="Arial"/>
          <w:sz w:val="20"/>
          <w:szCs w:val="20"/>
        </w:rPr>
        <w:t xml:space="preserve">Data migration from Practo (40,000+ appointments, 7,000+ patients, 23,000+ invoices)</w:t>
      </w:r>
    </w:p>
    <w:p>
      <w:pPr>
        <w:pStyle w:val="Heading2"/>
        <w:spacing w:after="160" w:before="280"/>
      </w:pPr>
      <w:r>
        <w:rPr>
          <w:rFonts w:ascii="Arial" w:cs="Arial" w:eastAsia="Arial" w:hAnsi="Arial"/>
          <w:b/>
          <w:bCs/>
          <w:color w:val="2E75B6"/>
          <w:sz w:val="26"/>
          <w:szCs w:val="26"/>
        </w:rPr>
        <w:t xml:space="preserve">1.4 Current Development Stage</w:t>
      </w:r>
    </w:p>
    <w:p>
      <w:pPr>
        <w:spacing w:after="120"/>
      </w:pPr>
      <w:r>
        <w:rPr>
          <w:rFonts w:ascii="Arial" w:cs="Arial" w:eastAsia="Arial" w:hAnsi="Arial"/>
          <w:sz w:val="20"/>
          <w:szCs w:val="20"/>
        </w:rPr>
        <w:t xml:space="preserve">The platform is in production at www.ayurgate.com, deployed on Railway. Core modules (patients, appointments, billing, inventory, payroll, prescriptions) are fully operational. Active development includes Practo data migration, Google OAuth, and CME/webinar modules.</w:t>
      </w:r>
    </w:p>
    <w:p>
      <w:r>
        <w:br w:type="page"/>
      </w:r>
    </w:p>
    <w:p>
      <w:pPr>
        <w:pStyle w:val="Heading1"/>
        <w:spacing w:after="200" w:before="360"/>
      </w:pPr>
      <w:r>
        <w:rPr>
          <w:rFonts w:ascii="Arial" w:cs="Arial" w:eastAsia="Arial" w:hAnsi="Arial"/>
          <w:b/>
          <w:bCs/>
          <w:color w:val="1B4F72"/>
          <w:sz w:val="32"/>
          <w:szCs w:val="32"/>
        </w:rPr>
        <w:t xml:space="preserve">2. System Architecture</w:t>
      </w:r>
    </w:p>
    <w:p>
      <w:pPr>
        <w:pStyle w:val="Heading2"/>
        <w:spacing w:after="160" w:before="280"/>
      </w:pPr>
      <w:r>
        <w:rPr>
          <w:rFonts w:ascii="Arial" w:cs="Arial" w:eastAsia="Arial" w:hAnsi="Arial"/>
          <w:b/>
          <w:bCs/>
          <w:color w:val="2E75B6"/>
          <w:sz w:val="26"/>
          <w:szCs w:val="26"/>
        </w:rPr>
        <w:t xml:space="preserve">2.1 Architecture Pattern</w:t>
      </w:r>
    </w:p>
    <w:p>
      <w:pPr>
        <w:spacing w:after="120"/>
      </w:pPr>
      <w:r>
        <w:rPr>
          <w:rFonts w:ascii="Arial" w:cs="Arial" w:eastAsia="Arial" w:hAnsi="Arial"/>
          <w:sz w:val="20"/>
          <w:szCs w:val="20"/>
        </w:rPr>
        <w:t xml:space="preserve">AyurGate follows a monolithic Next.js architecture with API routes serving as the backend. This is a deliberate choice for development velocity and operational simplicity at the current scale. The architecture is designed for a clean future decomposition into services if needed.</w:t>
      </w:r>
    </w:p>
    <w:p>
      <w:pPr>
        <w:pStyle w:val="Heading2"/>
        <w:spacing w:after="160" w:before="280"/>
      </w:pPr>
      <w:r>
        <w:rPr>
          <w:rFonts w:ascii="Arial" w:cs="Arial" w:eastAsia="Arial" w:hAnsi="Arial"/>
          <w:b/>
          <w:bCs/>
          <w:color w:val="2E75B6"/>
          <w:sz w:val="26"/>
          <w:szCs w:val="26"/>
        </w:rPr>
        <w:t xml:space="preserve">2.2 High-Level Architecture</w:t>
      </w:r>
    </w:p>
    <w:p>
      <w:pPr>
        <w:spacing w:after="120"/>
      </w:pPr>
      <w:r>
        <w:rPr>
          <w:rFonts w:ascii="Courier New" w:cs="Courier New" w:eastAsia="Courier New" w:hAnsi="Courier New"/>
          <w:sz w:val="16"/>
          <w:szCs w:val="16"/>
        </w:rPr>
        <w:t xml:space="preserve">┌─────────────────────────────────────────────────────────┐
│                    CLIENT LAYER                         │
│   Browser (React 19 + Tailwind CSS 4 + Recharts)       │
│   Patient Portal (PIN/OTP auth, self-service)          │
└─────────────────────────────────────────────────────────┘</w:t>
      </w:r>
    </w:p>
    <w:p>
      <w:pPr>
        <w:spacing w:after="120"/>
      </w:pPr>
      <w:r>
        <w:rPr>
          <w:rFonts w:ascii="Courier New" w:cs="Courier New" w:eastAsia="Courier New" w:hAnsi="Courier New"/>
          <w:sz w:val="16"/>
          <w:szCs w:val="16"/>
        </w:rPr>
        <w:t xml:space="preserve">┌─────────────────────────────────────────────────────────┐
│                APPLICATION LAYER                        │
│   Next.js 16 (App Router + API Routes + Middleware)     │
│   JWT Auth (jose) + Google OAuth 2.0                    │
│   TOTP 2FA (Google Authenticator)                       │
└─────────────────────────────────────────────────────────┘</w:t>
      </w:r>
    </w:p>
    <w:p>
      <w:pPr>
        <w:spacing w:after="120"/>
      </w:pPr>
      <w:r>
        <w:rPr>
          <w:rFonts w:ascii="Courier New" w:cs="Courier New" w:eastAsia="Courier New" w:hAnsi="Courier New"/>
          <w:sz w:val="16"/>
          <w:szCs w:val="16"/>
        </w:rPr>
        <w:t xml:space="preserve">┌─────────────────────────────────────────────────────────┐
│                  DATA LAYER                             │
│   Prisma ORM + SQLite (better-sqlite3)                  │
│   37 models, multi-tenant (clinicId scoping)            │
└─────────────────────────────────────────────────────────┘</w:t>
      </w:r>
    </w:p>
    <w:p>
      <w:pPr>
        <w:spacing w:after="120"/>
      </w:pPr>
      <w:r>
        <w:rPr>
          <w:rFonts w:ascii="Courier New" w:cs="Courier New" w:eastAsia="Courier New" w:hAnsi="Courier New"/>
          <w:sz w:val="16"/>
          <w:szCs w:val="16"/>
        </w:rPr>
        <w:t xml:space="preserve">┌─────────────────────────────────────────────────────────┐
│              EXTERNAL SERVICES                          │
│   Twilio (WhatsApp) | Resend (Email) | Stripe           │
│   Google OAuth | Nodemailer (SMTP)                      │
└─────────────────────────────────────────────────────────┘</w:t>
      </w:r>
    </w:p>
    <w:p>
      <w:pPr>
        <w:pStyle w:val="Heading2"/>
        <w:spacing w:after="160" w:before="280"/>
      </w:pPr>
      <w:r>
        <w:rPr>
          <w:rFonts w:ascii="Arial" w:cs="Arial" w:eastAsia="Arial" w:hAnsi="Arial"/>
          <w:b/>
          <w:bCs/>
          <w:color w:val="2E75B6"/>
          <w:sz w:val="26"/>
          <w:szCs w:val="26"/>
        </w:rPr>
        <w:t xml:space="preserve">2.3 Key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Decision</w:t>
            </w:r>
          </w:p>
        </w:tc>
        <w:tc>
          <w:tcPr>
            <w:tcW w:type="dxa" w:w="6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Monolithic Next.js</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Single deployment unit simplifies ops; API routes collocated with UI; easy to split later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SQLite (not PostgreSQL)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Zero-config, file-based DB; fast reads; deployed on Railway persistent volume; sufficient for current scale</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Prisma ORM</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Type-safe queries; auto-generated client; schema-as-code; migration support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JWT in HTTP-only cookies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Stateless auth; no session store needed; secure against XSS</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Multi-tenant via clinicId</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Row-level isolation; every model scoped by clinicId; simple and auditable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Server-side rendering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SEO for public pages; fast initial load; reduced client JS bundle</w:t>
            </w:r>
          </w:p>
        </w:tc>
      </w:tr>
    </w:tbl>
    <w:p>
      <w:r>
        <w:br w:type="page"/>
      </w:r>
    </w:p>
    <w:p>
      <w:pPr>
        <w:pStyle w:val="Heading1"/>
        <w:spacing w:after="200" w:before="360"/>
      </w:pPr>
      <w:r>
        <w:rPr>
          <w:rFonts w:ascii="Arial" w:cs="Arial" w:eastAsia="Arial" w:hAnsi="Arial"/>
          <w:b/>
          <w:bCs/>
          <w:color w:val="1B4F72"/>
          <w:sz w:val="32"/>
          <w:szCs w:val="32"/>
        </w:rPr>
        <w:t xml:space="preserve">3. Database Architecture</w:t>
      </w:r>
    </w:p>
    <w:p>
      <w:pPr>
        <w:pStyle w:val="Heading2"/>
        <w:spacing w:after="160" w:before="280"/>
      </w:pPr>
      <w:r>
        <w:rPr>
          <w:rFonts w:ascii="Arial" w:cs="Arial" w:eastAsia="Arial" w:hAnsi="Arial"/>
          <w:b/>
          <w:bCs/>
          <w:color w:val="2E75B6"/>
          <w:sz w:val="26"/>
          <w:szCs w:val="26"/>
        </w:rPr>
        <w:t xml:space="preserve">3.1 Database Engine</w:t>
      </w:r>
    </w:p>
    <w:p>
      <w:pPr>
        <w:spacing w:after="120"/>
      </w:pPr>
      <w:r>
        <w:rPr>
          <w:rFonts w:ascii="Arial" w:cs="Arial" w:eastAsia="Arial" w:hAnsi="Arial"/>
          <w:sz w:val="20"/>
          <w:szCs w:val="20"/>
        </w:rPr>
        <w:t xml:space="preserve">The platform uses SQLite via better-sqlite3, accessed through Prisma ORM. The database is a single file stored on Railway's persistent volume. This architecture provides exceptional read performance, zero operational overhead, and atomic transactions.</w:t>
      </w:r>
    </w:p>
    <w:p>
      <w:pPr>
        <w:pStyle w:val="Heading2"/>
        <w:spacing w:after="160" w:before="280"/>
      </w:pPr>
      <w:r>
        <w:rPr>
          <w:rFonts w:ascii="Arial" w:cs="Arial" w:eastAsia="Arial" w:hAnsi="Arial"/>
          <w:b/>
          <w:bCs/>
          <w:color w:val="2E75B6"/>
          <w:sz w:val="26"/>
          <w:szCs w:val="26"/>
        </w:rPr>
        <w:t xml:space="preserve">3.2 Multi-Tenancy Model</w:t>
      </w:r>
    </w:p>
    <w:p>
      <w:pPr>
        <w:spacing w:after="120"/>
      </w:pPr>
      <w:r>
        <w:rPr>
          <w:rFonts w:ascii="Arial" w:cs="Arial" w:eastAsia="Arial" w:hAnsi="Arial"/>
          <w:sz w:val="20"/>
          <w:szCs w:val="20"/>
        </w:rPr>
        <w:t xml:space="preserve">AyurGate uses a shared-database, shared-schema multi-tenancy model. Every data table includes a clinicId column that scopes data to the owning clinic. The application layer enforces tenant isolation — every query filters by the authenticated user's clinicId.</w:t>
      </w:r>
    </w:p>
    <w:p>
      <w:pPr>
        <w:pStyle w:val="Heading2"/>
        <w:spacing w:after="160" w:before="280"/>
      </w:pPr>
      <w:r>
        <w:rPr>
          <w:rFonts w:ascii="Arial" w:cs="Arial" w:eastAsia="Arial" w:hAnsi="Arial"/>
          <w:b/>
          <w:bCs/>
          <w:color w:val="2E75B6"/>
          <w:sz w:val="26"/>
          <w:szCs w:val="26"/>
        </w:rPr>
        <w:t xml:space="preserve">3.3 Data Model Overview (37 Models)</w:t>
      </w:r>
    </w:p>
    <w:p>
      <w:pPr>
        <w:pStyle w:val="Heading3"/>
        <w:spacing w:after="120" w:before="200"/>
      </w:pPr>
      <w:r>
        <w:rPr>
          <w:rFonts w:ascii="Arial" w:cs="Arial" w:eastAsia="Arial" w:hAnsi="Arial"/>
          <w:b/>
          <w:bCs/>
          <w:color w:val="404040"/>
          <w:sz w:val="22"/>
          <w:szCs w:val="22"/>
        </w:rPr>
        <w:t xml:space="preserve">Core Clinical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Relationships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Patient</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Patient demographics, medical history, contact info</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Appointments, ClinicalNotes, Prescriptions, Vitals, TreatmentPlans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Appointment</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Scheduling with doctor, treatment, and package linkage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Patient, User (doctor), Treatment, PatientPackage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ClinicalNote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Doctor notes: present illness, examination, diagnosis, treatment</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Patient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Prescription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Medication orders with dosage, timing, duration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Patient, PrescriptionItems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Vital</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BP, pulse, temp, weight, height, BMI, SpO2</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Patient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TreatmentPlan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Multi-session treatment programs with milestones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Patient, TreatmentPlanItems, TreatmentMilestones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Treatment</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Service catalog: therapy, consultation, panchakarma, etc.</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TreatmentPackages, Appointments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TreatmentPackage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Multi-session packages with discount pricing</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Treatment, PatientPackages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PatientPackage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Sold package instance with session tracking and refund policy</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Patient, Treatment, PackageSessions, PackageShares, PackageRefunds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FamilyMember</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Patient family relationships with linked patient records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Patient</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Waitlist</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Queue management with priority and auto-expiry</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 (denormalized)</w:t>
            </w:r>
          </w:p>
        </w:tc>
      </w:tr>
    </w:tbl>
    <w:p>
      <w:pPr>
        <w:spacing w:after="80"/>
      </w:pPr>
    </w:p>
    <w:p>
      <w:pPr>
        <w:pStyle w:val="Heading3"/>
        <w:spacing w:after="120" w:before="200"/>
      </w:pPr>
      <w:r>
        <w:rPr>
          <w:rFonts w:ascii="Arial" w:cs="Arial" w:eastAsia="Arial" w:hAnsi="Arial"/>
          <w:b/>
          <w:bCs/>
          <w:color w:val="404040"/>
          <w:sz w:val="22"/>
          <w:szCs w:val="22"/>
        </w:rPr>
        <w:t xml:space="preserve">Billing &amp; Financial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Relationships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Invoice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Bills with line items, GST, discounts, payment tracking</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InvoiceItems, Payments, InsuranceClaims, CreditNotes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InvoiceItem</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Line items: consultation, therapy, medicine, procedure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Invoice, InventoryItem</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Payment</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Payment records: cash, card, UPI, bank transfer, insurance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Invoice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InsuranceProvider</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Panel insurance companies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InsuranceClaims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InsuranceClaim</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Claim lifecycle: submitted to settled</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Invoice, InsuranceProvider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CreditNote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Refund/credit notes linked to invoices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Invoice</w:t>
            </w:r>
          </w:p>
        </w:tc>
      </w:tr>
    </w:tbl>
    <w:p>
      <w:pPr>
        <w:spacing w:after="80"/>
      </w:pPr>
    </w:p>
    <w:p>
      <w:pPr>
        <w:pStyle w:val="Heading3"/>
        <w:spacing w:after="120" w:before="200"/>
      </w:pPr>
      <w:r>
        <w:rPr>
          <w:rFonts w:ascii="Arial" w:cs="Arial" w:eastAsia="Arial" w:hAnsi="Arial"/>
          <w:b/>
          <w:bCs/>
          <w:color w:val="404040"/>
          <w:sz w:val="22"/>
          <w:szCs w:val="22"/>
        </w:rPr>
        <w:t xml:space="preserve">Inventory &amp; Supply Chain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Relationships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InventoryItem</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Products: medicines, herbs, oils, consumables, equipment</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InventoryVariants, StockTransactions, BranchStock</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InventoryVariant</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Size/packing variants (200ML, 50GM) with own pricing</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InventoryItem</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StockTransaction</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Stock movement log: purchase, sale, adjustment, return, expired</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InventoryItem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Supplier</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Supplier directory with contact and GST info</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None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PurchaseOrder</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Purchase orders with item-level receiving</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PurchaseOrderItems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Branch</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Multi-branch: Bedok (main), Jurong</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BranchStock, StockTransfers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BranchStock</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Per-branch stock levels for each item/variant</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Branch, InventoryItem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StockTransfer</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Inter-branch stock transfers with send/receive workflow</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StockTransferItems, Branches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TransferTemplate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Reusable transfer templates for recurring transfers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TransferTemplateItems</w:t>
            </w:r>
          </w:p>
        </w:tc>
      </w:tr>
    </w:tbl>
    <w:p>
      <w:pPr>
        <w:spacing w:after="80"/>
      </w:pPr>
    </w:p>
    <w:p>
      <w:pPr>
        <w:pStyle w:val="Heading3"/>
        <w:spacing w:after="120" w:before="200"/>
      </w:pPr>
      <w:r>
        <w:rPr>
          <w:rFonts w:ascii="Arial" w:cs="Arial" w:eastAsia="Arial" w:hAnsi="Arial"/>
          <w:b/>
          <w:bCs/>
          <w:color w:val="404040"/>
          <w:sz w:val="22"/>
          <w:szCs w:val="22"/>
        </w:rPr>
        <w:t xml:space="preserve">HR, Payroll &amp; Compliance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Relationships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User</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Employees: admin, doctor, therapist, pharmacist, receptionist, staff</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Appointments, SalaryConfig, StaffLeave, StaffDocument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SalaryConfig</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Per-employee salary: base, allowances, deductions, CPF rates, bank</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Payroll</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Monthly payroll: gross, CPF, deductions, net pay, statutory breakdown</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KeyEmploymentTerms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MOM-compliant KET document: Sections A-E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StaffLeave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Leave/availability: annual, sick, block, holiday</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StaffDocument</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Employee documents: licenses, certificates, contracts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CommissionRule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Commission rules: percentage or fixed, per-role or per-user</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CommissionPayout</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Monthly commission calculations and payout tracking</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w:t>
            </w:r>
          </w:p>
        </w:tc>
      </w:tr>
    </w:tbl>
    <w:p>
      <w:pPr>
        <w:spacing w:after="80"/>
      </w:pPr>
    </w:p>
    <w:p>
      <w:pPr>
        <w:pStyle w:val="Heading3"/>
        <w:spacing w:after="120" w:before="200"/>
      </w:pPr>
      <w:r>
        <w:rPr>
          <w:rFonts w:ascii="Arial" w:cs="Arial" w:eastAsia="Arial" w:hAnsi="Arial"/>
          <w:b/>
          <w:bCs/>
          <w:color w:val="404040"/>
          <w:sz w:val="22"/>
          <w:szCs w:val="22"/>
        </w:rPr>
        <w:t xml:space="preserve">Platform &amp; Communication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Relationships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Clinic</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Tenant: clinic registration, onboarding, settings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ClinicSubscription, OnboardingProgress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ClinicSubscription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Subscription: trial, starter, professional, enterprise + Stripe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Clinic</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ClinicSettings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Per-clinic config: address, currency, working hours, GST</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PlatformSettings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Global platform config: plan limits, pricing, feature flags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None (singleton)</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Communication</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Email/WhatsApp message log per patient</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Patient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WhatsAppMessage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Two-way WhatsApp chat via Twilio</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Patient</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MessageTemplate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Reusable message templates with variables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Reminder</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Scheduled reminders: appointment, follow-up, payment, medication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Patient</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Feedback</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Patient feedback: ratings, categories, clinic response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Notification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In-app notifications: transfers, low stock, PO received</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None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AuditLog</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data changes tracked: who, what, when</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r>
    </w:tbl>
    <w:p>
      <w:pPr>
        <w:spacing w:after="80"/>
      </w:pPr>
    </w:p>
    <w:p>
      <w:pPr>
        <w:pStyle w:val="Heading3"/>
        <w:spacing w:after="120" w:before="200"/>
      </w:pPr>
      <w:r>
        <w:rPr>
          <w:rFonts w:ascii="Arial" w:cs="Arial" w:eastAsia="Arial" w:hAnsi="Arial"/>
          <w:b/>
          <w:bCs/>
          <w:color w:val="404040"/>
          <w:sz w:val="22"/>
          <w:szCs w:val="22"/>
        </w:rPr>
        <w:t xml:space="preserve">CME / Education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Relationships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CmeEvent</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CME events, webinars, workshops with video integration</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CmeSpeakers, CmeRegistrations, CmeSessions, CmeCertificates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CmeSpeaker</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Speaker profiles with bio, specializations, photo</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CmeEventSpeaker</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CmeRegistration</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Event registrations with payment and attendance tracking</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CmeEvent, CmeCertificate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CmeCertificate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Auto-generated CME certificates with QR verification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CmeRegistration, CmeEvent</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CmeSession</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Individual sessions within a multi-session event</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CmeEvent</w:t>
            </w:r>
          </w:p>
        </w:tc>
      </w:tr>
    </w:tbl>
    <w:p>
      <w:pPr>
        <w:pStyle w:val="Heading2"/>
        <w:spacing w:after="160" w:before="280"/>
      </w:pPr>
      <w:r>
        <w:rPr>
          <w:rFonts w:ascii="Arial" w:cs="Arial" w:eastAsia="Arial" w:hAnsi="Arial"/>
          <w:b/>
          <w:bCs/>
          <w:color w:val="2E75B6"/>
          <w:sz w:val="26"/>
          <w:szCs w:val="26"/>
        </w:rPr>
        <w:t xml:space="preserve">3.4 User Model — Employee Fields</w:t>
      </w:r>
    </w:p>
    <w:p>
      <w:pPr>
        <w:spacing w:after="120"/>
      </w:pPr>
      <w:r>
        <w:rPr>
          <w:rFonts w:ascii="Arial" w:cs="Arial" w:eastAsia="Arial" w:hAnsi="Arial"/>
          <w:sz w:val="20"/>
          <w:szCs w:val="20"/>
        </w:rPr>
        <w:t xml:space="preserve">The User model serves dual purpose: system authentication AND employee HR record. Key HR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5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nricFin</w:t>
            </w:r>
          </w:p>
        </w:tc>
        <w:tc>
          <w:tcPr>
            <w:tcW w:type="dxa" w:w="5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NRIC (locals) or FIN (foreigners) — primary ID for CPF/MOM</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residencyStatus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singaporean | pr | foreigner — determines CPF applicability</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prStartDate</w:t>
            </w:r>
          </w:p>
        </w:tc>
        <w:tc>
          <w:tcPr>
            <w:tcW w:type="dxa" w:w="5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 effective date — for graduated CPF rate calculation (Year 1/2/3+)</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dateOfBirth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Age-based CPF rates (different brackets: &lt;55, 55-60, 60-65, 65-70, &gt;70)</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ethnicity</w:t>
            </w:r>
          </w:p>
        </w:tc>
        <w:tc>
          <w:tcPr>
            <w:tcW w:type="dxa" w:w="5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chinese | malay | indian | eurasian | other — determines SHG fund (CDAC/MBMF/SINDA/ECF)</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jobTitle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MOM KET compliance field</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employmentType</w:t>
            </w:r>
          </w:p>
        </w:tc>
        <w:tc>
          <w:tcPr>
            <w:tcW w:type="dxa" w:w="5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full_time | part_time — affects CPF thresholds and leave entitlement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dateOfJoining / lastWorkingDate / resignationDate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Employment lifecycle tracking</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isWorkman</w:t>
            </w:r>
          </w:p>
        </w:tc>
        <w:tc>
          <w:tcPr>
            <w:tcW w:type="dxa" w:w="5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MOM Part IV classification — affects overtime cap ($4,500 vs $2,600)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weeklyContractedHours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Part-time threshold (&lt;35 hrs), overtime calculation basis</w:t>
            </w:r>
          </w:p>
        </w:tc>
      </w:tr>
    </w:tbl>
    <w:p>
      <w:r>
        <w:br w:type="page"/>
      </w:r>
    </w:p>
    <w:p>
      <w:pPr>
        <w:pStyle w:val="Heading1"/>
        <w:spacing w:after="200" w:before="360"/>
      </w:pPr>
      <w:r>
        <w:rPr>
          <w:rFonts w:ascii="Arial" w:cs="Arial" w:eastAsia="Arial" w:hAnsi="Arial"/>
          <w:b/>
          <w:bCs/>
          <w:color w:val="1B4F72"/>
          <w:sz w:val="32"/>
          <w:szCs w:val="32"/>
        </w:rPr>
        <w:t xml:space="preserve">4. Technology Stack</w:t>
      </w:r>
    </w:p>
    <w:p>
      <w:pPr>
        <w:pStyle w:val="Heading2"/>
        <w:spacing w:after="160" w:before="280"/>
      </w:pPr>
      <w:r>
        <w:rPr>
          <w:rFonts w:ascii="Arial" w:cs="Arial" w:eastAsia="Arial" w:hAnsi="Arial"/>
          <w:b/>
          <w:bCs/>
          <w:color w:val="2E75B6"/>
          <w:sz w:val="26"/>
          <w:szCs w:val="26"/>
        </w:rPr>
        <w:t xml:space="preserve">4.1 Full Stack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Frontend</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React 19 + Next.js 16</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App Router, Server Components, client-side forms via react-hook-form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Styling</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Tailwind CSS 4</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Utility-first CSS, responsive design, dark mode ready</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Charts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Recharts 3.8</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Dashboard analytics, revenue charts, appointment trends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Backend</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Next.js API Routes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RESTful endpoints in /api/**, middleware-based auth</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Authentication</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JWT (jose) + Google OAuth 2.0</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HTTP-only cookies, TOTP 2FA via otpauth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Database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SQLite via better-sqlite3</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File-based, accessed through Prisma adapter</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ORM</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Prisma 7.5</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Type-safe client, schema migrations, 37 models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Email</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Nodemailer + Resend</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SMTP for transactional, Resend for marketing</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WhatsApp</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Twilio</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Two-way messaging, appointment reminders, bulk campaigns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Payments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Stripe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Subscription billing for SaaS plans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QR Codes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qrcode + html5-qrcode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Patient QR check-in, CME certificate verification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Password Hashing</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bcryptjs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Secure password storage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Hosting</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Railway</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Container deployment with persistent SQLite volume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Domain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www.ayurgate.com</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Custom domain with SSL</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Version Control</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GitHub</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Private repo: ayurcentresg-debug/ayurgate</w:t>
            </w:r>
          </w:p>
        </w:tc>
      </w:tr>
    </w:tbl>
    <w:p>
      <w:r>
        <w:br w:type="page"/>
      </w:r>
    </w:p>
    <w:p>
      <w:pPr>
        <w:pStyle w:val="Heading1"/>
        <w:spacing w:after="200" w:before="360"/>
      </w:pPr>
      <w:r>
        <w:rPr>
          <w:rFonts w:ascii="Arial" w:cs="Arial" w:eastAsia="Arial" w:hAnsi="Arial"/>
          <w:b/>
          <w:bCs/>
          <w:color w:val="1B4F72"/>
          <w:sz w:val="32"/>
          <w:szCs w:val="32"/>
        </w:rPr>
        <w:t xml:space="preserve">5. Functional Modules &amp; API Routes</w:t>
      </w:r>
    </w:p>
    <w:p>
      <w:pPr>
        <w:pStyle w:val="Heading2"/>
        <w:spacing w:after="160" w:before="280"/>
      </w:pPr>
      <w:r>
        <w:rPr>
          <w:rFonts w:ascii="Arial" w:cs="Arial" w:eastAsia="Arial" w:hAnsi="Arial"/>
          <w:b/>
          <w:bCs/>
          <w:color w:val="2E75B6"/>
          <w:sz w:val="26"/>
          <w:szCs w:val="26"/>
        </w:rPr>
        <w:t xml:space="preserve">5.1 Module Map</w:t>
      </w:r>
    </w:p>
    <w:p>
      <w:pPr>
        <w:spacing w:after="120"/>
      </w:pPr>
      <w:r>
        <w:rPr>
          <w:rFonts w:ascii="Arial" w:cs="Arial" w:eastAsia="Arial" w:hAnsi="Arial"/>
          <w:sz w:val="20"/>
          <w:szCs w:val="20"/>
        </w:rPr>
        <w:t xml:space="preserve">The application is organized into the following functional modules, each with dedicated API routes and UI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160"/>
        <w:gridCol w:w="200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API Routes</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Features</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Patient Management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/api/patients/*</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Registration, demographics, medical history, family linking, QR check-in, duplicate detection, merge, import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Production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Appointments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/api/appointments/*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Scheduling, walk-ins, reassignment, waitlist, today's view, affected appointments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Billing &amp; Invoicing</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/api/invoices/*</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Invoicing, GST, discounts, payments, email receipts, insurance claims, credit notes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Production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Inventory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/api/inventory/* + /api/purchase-orders/*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Stock management, variants, transactions, purchase orders, suppliers, low-stock alerts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Multi-Branch</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/api/transfers/*</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Branch stock, inter-branch transfers, transfer templates, receive workflow</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Production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Prescriptions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/api/prescriptions/*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Drug orders, dosage, frequency, timing, linked to inventory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Clinical Notes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/api/clinical-notes/*</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Present illness, examination, diagnosis, treatment notes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Production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Treatment Plans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/api/treatment-plans/*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Multi-session plans, milestones, progress tracking, cost estimation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Patient Packages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/api/patient-packages/*</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Package sales, session tracking, sharing, refunds (CaseTrust compliant)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Production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Vitals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/api/vitals/*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BP, pulse, temperature, weight, height, BMI, SpO2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HR &amp; Payroll</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/api/admin/payroll/*</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Salary config, monthly payroll generation, payslip PDF, bulk email, CPF calculation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Production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KET Compliance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/api/admin/ket/*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MOM Key Employment Terms, auto-prefill, HTML generation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Commission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/api/admin/commission/*</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Rules engine, monthly calculation, payout tracking</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Production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Staff Management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/api/staff/*</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Invites, roles, leave, documents, schedule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Patient Portal</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/api/portal/*</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Self-service: appointments, prescriptions, invoices, feedback</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Production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Communications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/api/whatsapp/* + email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WhatsApp chat, reminders, templates, bulk messaging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Dashboard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/api/dashboard/*</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Analytics, setup checklist, staff summary, revenue trends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Production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CME / Webinars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/api/cme/*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Events, speakers, registration, attendance, certificates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Auth</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/api/auth/*</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Login, register, Google OAuth, TOTP, password reset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Production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Super Admin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/api/super-admin/*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Platform management, clinic overview, subscription control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Feedback</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/api/feedback/*</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Patient ratings, categories, clinic response, token-based anonymous feedback</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Production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Audit Logs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/api/audit-logs/*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audit trail of all data changes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Production</w:t>
            </w:r>
          </w:p>
        </w:tc>
      </w:tr>
    </w:tbl>
    <w:p>
      <w:r>
        <w:br w:type="page"/>
      </w:r>
    </w:p>
    <w:p>
      <w:pPr>
        <w:pStyle w:val="Heading1"/>
        <w:spacing w:after="200" w:before="360"/>
      </w:pPr>
      <w:r>
        <w:rPr>
          <w:rFonts w:ascii="Arial" w:cs="Arial" w:eastAsia="Arial" w:hAnsi="Arial"/>
          <w:b/>
          <w:bCs/>
          <w:color w:val="1B4F72"/>
          <w:sz w:val="32"/>
          <w:szCs w:val="32"/>
        </w:rPr>
        <w:t xml:space="preserve">6. HR &amp; Payroll Architecture (Singapore)</w:t>
      </w:r>
    </w:p>
    <w:p>
      <w:pPr>
        <w:pStyle w:val="Heading2"/>
        <w:spacing w:after="160" w:before="280"/>
      </w:pPr>
      <w:r>
        <w:rPr>
          <w:rFonts w:ascii="Arial" w:cs="Arial" w:eastAsia="Arial" w:hAnsi="Arial"/>
          <w:b/>
          <w:bCs/>
          <w:color w:val="2E75B6"/>
          <w:sz w:val="26"/>
          <w:szCs w:val="26"/>
        </w:rPr>
        <w:t xml:space="preserve">6.1 Employee Classification</w:t>
      </w:r>
    </w:p>
    <w:p>
      <w:pPr>
        <w:spacing w:after="120"/>
      </w:pPr>
      <w:r>
        <w:rPr>
          <w:rFonts w:ascii="Arial" w:cs="Arial" w:eastAsia="Arial" w:hAnsi="Arial"/>
          <w:sz w:val="20"/>
          <w:szCs w:val="20"/>
        </w:rPr>
        <w:t xml:space="preserve">The system handles three employee types with different statutory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CPF Applicable</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Considerations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Singaporean Citizen</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 — Full rates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Age-based rates, SHG fund by ethnicity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Permanent Resident (PR)</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Yes — Graduated rates (Year 1/2/3+)</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prStartDate determines rate tier</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Foreigner (Work Permit/S-Pass)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 CPF</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Foreign worker levy, work permit expiry tracking</w:t>
            </w:r>
          </w:p>
        </w:tc>
      </w:tr>
    </w:tbl>
    <w:p>
      <w:pPr>
        <w:spacing w:after="80"/>
      </w:pPr>
    </w:p>
    <w:p>
      <w:pPr>
        <w:pStyle w:val="Heading2"/>
        <w:spacing w:after="160" w:before="280"/>
      </w:pPr>
      <w:r>
        <w:rPr>
          <w:rFonts w:ascii="Arial" w:cs="Arial" w:eastAsia="Arial" w:hAnsi="Arial"/>
          <w:b/>
          <w:bCs/>
          <w:color w:val="2E75B6"/>
          <w:sz w:val="26"/>
          <w:szCs w:val="26"/>
        </w:rPr>
        <w:t xml:space="preserve">6.2 Current Employee Data (Ayur Centre Pte Ltd)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Count</w:t>
            </w:r>
          </w:p>
        </w:tc>
      </w:tr>
      <w:tr>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Total Employees</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31</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Local (SG/PR) — CPF applicable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24</w:t>
            </w:r>
          </w:p>
        </w:tc>
      </w:tr>
      <w:tr>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Foreign (Work Permit) — No CPF</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Bedok Branch (Main)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w:t>
            </w:r>
          </w:p>
        </w:tc>
      </w:tr>
      <w:tr>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Jurong Branch</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11</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Monthly CPF Total (Mar 2026)</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$7,693.00</w:t>
            </w:r>
          </w:p>
        </w:tc>
      </w:tr>
      <w:tr>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Monthly SDL</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$75.00</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Monthly SHG Funds (SINDA/MBMF)</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$63.00</w:t>
            </w:r>
          </w:p>
        </w:tc>
      </w:tr>
      <w:tr>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Grand Total Statutory (Mar 2026)</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$7,831.00</w:t>
            </w:r>
          </w:p>
        </w:tc>
      </w:tr>
    </w:tbl>
    <w:p>
      <w:pPr>
        <w:spacing w:after="80"/>
      </w:pPr>
    </w:p>
    <w:p>
      <w:pPr>
        <w:pStyle w:val="Heading2"/>
        <w:spacing w:after="160" w:before="280"/>
      </w:pPr>
      <w:r>
        <w:rPr>
          <w:rFonts w:ascii="Arial" w:cs="Arial" w:eastAsia="Arial" w:hAnsi="Arial"/>
          <w:b/>
          <w:bCs/>
          <w:color w:val="2E75B6"/>
          <w:sz w:val="26"/>
          <w:szCs w:val="26"/>
        </w:rPr>
        <w:t xml:space="preserve">6.3 Payroll Calculation Flow</w:t>
      </w:r>
    </w:p>
    <w:p>
      <w:pPr>
        <w:spacing w:after="120"/>
      </w:pPr>
      <w:r>
        <w:rPr>
          <w:rFonts w:ascii="Arial" w:cs="Arial" w:eastAsia="Arial" w:hAnsi="Arial"/>
          <w:sz w:val="20"/>
          <w:szCs w:val="20"/>
        </w:rPr>
        <w:t xml:space="preserve">Monthly payroll follows this sequence:</w:t>
      </w:r>
    </w:p>
    <w:p>
      <w:pPr>
        <w:pStyle w:val="ListParagraph"/>
        <w:numPr>
          <w:ilvl w:val="0"/>
          <w:numId w:val="3"/>
        </w:numPr>
        <w:spacing w:after="80"/>
      </w:pPr>
      <w:r>
        <w:rPr>
          <w:rFonts w:ascii="Arial" w:cs="Arial" w:eastAsia="Arial" w:hAnsi="Arial"/>
          <w:sz w:val="20"/>
          <w:szCs w:val="20"/>
        </w:rPr>
        <w:t xml:space="preserve">Admin triggers payroll generation for a period (e.g., 2026-03)</w:t>
      </w:r>
    </w:p>
    <w:p>
      <w:pPr>
        <w:pStyle w:val="ListParagraph"/>
        <w:numPr>
          <w:ilvl w:val="0"/>
          <w:numId w:val="3"/>
        </w:numPr>
        <w:spacing w:after="80"/>
      </w:pPr>
      <w:r>
        <w:rPr>
          <w:rFonts w:ascii="Arial" w:cs="Arial" w:eastAsia="Arial" w:hAnsi="Arial"/>
          <w:sz w:val="20"/>
          <w:szCs w:val="20"/>
        </w:rPr>
        <w:t xml:space="preserve">System reads SalaryConfig for each active employee</w:t>
      </w:r>
    </w:p>
    <w:p>
      <w:pPr>
        <w:pStyle w:val="ListParagraph"/>
        <w:numPr>
          <w:ilvl w:val="0"/>
          <w:numId w:val="3"/>
        </w:numPr>
        <w:spacing w:after="80"/>
      </w:pPr>
      <w:r>
        <w:rPr>
          <w:rFonts w:ascii="Arial" w:cs="Arial" w:eastAsia="Arial" w:hAnsi="Arial"/>
          <w:sz w:val="20"/>
          <w:szCs w:val="20"/>
        </w:rPr>
        <w:t xml:space="preserve">Calculates: Basic + Allowances + OT + Commission + Bonus = Gross Pay</w:t>
      </w:r>
    </w:p>
    <w:p>
      <w:pPr>
        <w:pStyle w:val="ListParagraph"/>
        <w:numPr>
          <w:ilvl w:val="0"/>
          <w:numId w:val="3"/>
        </w:numPr>
        <w:spacing w:after="80"/>
      </w:pPr>
      <w:r>
        <w:rPr>
          <w:rFonts w:ascii="Arial" w:cs="Arial" w:eastAsia="Arial" w:hAnsi="Arial"/>
          <w:sz w:val="20"/>
          <w:szCs w:val="20"/>
        </w:rPr>
        <w:t xml:space="preserve">For locals: auto-calculates CPF (employee + employer) based on age, residency, wage ceiling</w:t>
      </w:r>
    </w:p>
    <w:p>
      <w:pPr>
        <w:pStyle w:val="ListParagraph"/>
        <w:numPr>
          <w:ilvl w:val="0"/>
          <w:numId w:val="3"/>
        </w:numPr>
        <w:spacing w:after="80"/>
      </w:pPr>
      <w:r>
        <w:rPr>
          <w:rFonts w:ascii="Arial" w:cs="Arial" w:eastAsia="Arial" w:hAnsi="Arial"/>
          <w:sz w:val="20"/>
          <w:szCs w:val="20"/>
        </w:rPr>
        <w:t xml:space="preserve">For foreigners: CPF = $0, no statutory deductions</w:t>
      </w:r>
    </w:p>
    <w:p>
      <w:pPr>
        <w:pStyle w:val="ListParagraph"/>
        <w:numPr>
          <w:ilvl w:val="0"/>
          <w:numId w:val="3"/>
        </w:numPr>
        <w:spacing w:after="80"/>
      </w:pPr>
      <w:r>
        <w:rPr>
          <w:rFonts w:ascii="Arial" w:cs="Arial" w:eastAsia="Arial" w:hAnsi="Arial"/>
          <w:sz w:val="20"/>
          <w:szCs w:val="20"/>
        </w:rPr>
        <w:t xml:space="preserve">Calculates SDL ($0.25 per $100 of gross wages, min $2, max $11.25)</w:t>
      </w:r>
    </w:p>
    <w:p>
      <w:pPr>
        <w:pStyle w:val="ListParagraph"/>
        <w:numPr>
          <w:ilvl w:val="0"/>
          <w:numId w:val="3"/>
        </w:numPr>
        <w:spacing w:after="80"/>
      </w:pPr>
      <w:r>
        <w:rPr>
          <w:rFonts w:ascii="Arial" w:cs="Arial" w:eastAsia="Arial" w:hAnsi="Arial"/>
          <w:sz w:val="20"/>
          <w:szCs w:val="20"/>
        </w:rPr>
        <w:t xml:space="preserve">Net Pay = Gross - Employee CPF - Other Deductions</w:t>
      </w:r>
    </w:p>
    <w:p>
      <w:pPr>
        <w:pStyle w:val="ListParagraph"/>
        <w:numPr>
          <w:ilvl w:val="0"/>
          <w:numId w:val="3"/>
        </w:numPr>
        <w:spacing w:after="80"/>
      </w:pPr>
      <w:r>
        <w:rPr>
          <w:rFonts w:ascii="Arial" w:cs="Arial" w:eastAsia="Arial" w:hAnsi="Arial"/>
          <w:sz w:val="20"/>
          <w:szCs w:val="20"/>
        </w:rPr>
        <w:t xml:space="preserve">Generates payslip (matches company template: Payslip ID, Basic Rate, Allowances, OT, Gross, CPF, Net, Leave balance)</w:t>
      </w:r>
    </w:p>
    <w:p>
      <w:pPr>
        <w:pStyle w:val="ListParagraph"/>
        <w:numPr>
          <w:ilvl w:val="0"/>
          <w:numId w:val="3"/>
        </w:numPr>
        <w:spacing w:after="80"/>
      </w:pPr>
      <w:r>
        <w:rPr>
          <w:rFonts w:ascii="Arial" w:cs="Arial" w:eastAsia="Arial" w:hAnsi="Arial"/>
          <w:sz w:val="20"/>
          <w:szCs w:val="20"/>
        </w:rPr>
        <w:t xml:space="preserve">Bulk email payslips to employees</w:t>
      </w:r>
    </w:p>
    <w:p>
      <w:pPr>
        <w:spacing w:after="80"/>
      </w:pPr>
    </w:p>
    <w:p>
      <w:pPr>
        <w:pStyle w:val="Heading2"/>
        <w:spacing w:after="160" w:before="280"/>
      </w:pPr>
      <w:r>
        <w:rPr>
          <w:rFonts w:ascii="Arial" w:cs="Arial" w:eastAsia="Arial" w:hAnsi="Arial"/>
          <w:b/>
          <w:bCs/>
          <w:color w:val="2E75B6"/>
          <w:sz w:val="26"/>
          <w:szCs w:val="26"/>
        </w:rPr>
        <w:t xml:space="preserve">6.4 Payslip Fields Mapping</w:t>
      </w:r>
    </w:p>
    <w:p>
      <w:pPr>
        <w:spacing w:after="120"/>
      </w:pPr>
      <w:r>
        <w:rPr>
          <w:rFonts w:ascii="Arial" w:cs="Arial" w:eastAsia="Arial" w:hAnsi="Arial"/>
          <w:sz w:val="20"/>
          <w:szCs w:val="20"/>
        </w:rPr>
        <w:t xml:space="preserve">Validated against actual Ayur Centre payslip (Payslip ID: 547,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Payslip Field</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Database Field</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Payslip ID</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Payroll.id (auto)</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Sequential number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Pay To (Employee Name)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User.name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Employee NRIC/FIN</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User.nricFin</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Masked on display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Salary Period</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Payroll.period</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YYYY-MM format stored</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Salary Payment Date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Payroll.paidAt</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Mode of Payment</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Payroll.paymentMode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bank_transfer | cash | cheque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Basic Salary (A)</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Payroll.baseSalary</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From SalaryConfig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Total Allowances (B)</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Payroll.totalAllowances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JSON breakdown in allowanceBreakdown</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Total Additional Payment (C)</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Payroll.bonus + commission</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Total Overtime Pay (D)</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Payroll.overtime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overtimeHours tracked separately</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Gross Pay (A+B+C+D)</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Payroll.grossPay</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Auto-calculated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CPF Deductions (F)</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Payroll.cpfEmployee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Employee portion only</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Total Deductions (E)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Payroll.totalDeductions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Other deductions (not CPF)</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Nett Pay</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Payroll.netPay</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A+B+C+D-E-F</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Employer CPF</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Payroll.cpfEmployer</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Not deducted from employee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Annual Leaves Entitled</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StaffLeave (calculated)</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Leaves Left</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StaffLeave (calculated)</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bl>
    <w:p>
      <w:pPr>
        <w:spacing w:after="80"/>
      </w:pPr>
    </w:p>
    <w:p>
      <w:pPr>
        <w:pStyle w:val="Heading2"/>
        <w:spacing w:after="160" w:before="280"/>
      </w:pPr>
      <w:r>
        <w:rPr>
          <w:rFonts w:ascii="Arial" w:cs="Arial" w:eastAsia="Arial" w:hAnsi="Arial"/>
          <w:b/>
          <w:bCs/>
          <w:color w:val="2E75B6"/>
          <w:sz w:val="26"/>
          <w:szCs w:val="26"/>
        </w:rPr>
        <w:t xml:space="preserve">6.5 SHG Fund Configuration</w:t>
      </w:r>
    </w:p>
    <w:p>
      <w:pPr>
        <w:spacing w:after="120"/>
      </w:pPr>
      <w:r>
        <w:rPr>
          <w:rFonts w:ascii="Arial" w:cs="Arial" w:eastAsia="Arial" w:hAnsi="Arial"/>
          <w:sz w:val="20"/>
          <w:szCs w:val="20"/>
        </w:rPr>
        <w:t xml:space="preserve">Self-Help Group fund contributions depend on the employee's ethnicity. The system determines the correct fund automatically. Note: Some clinics choose to absorb SHG costs (company-paid) rather than deducting from employees. This is configurable per clinic.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Ethnicity</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SHG Fund</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Typical Monthly Amount</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Chinese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CDAC</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$0.50 – $1.00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Malay</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MBMF (Mendaki)</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$3.00 – $4.50</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Indian</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SINDA</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$1.00 – $9.00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Eurasian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ECF</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$1.00 – $2.00</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Other</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w:t>
            </w:r>
          </w:p>
        </w:tc>
      </w:tr>
    </w:tbl>
    <w:p>
      <w:r>
        <w:br w:type="page"/>
      </w:r>
    </w:p>
    <w:p>
      <w:pPr>
        <w:pStyle w:val="Heading1"/>
        <w:spacing w:after="200" w:before="360"/>
      </w:pPr>
      <w:r>
        <w:rPr>
          <w:rFonts w:ascii="Arial" w:cs="Arial" w:eastAsia="Arial" w:hAnsi="Arial"/>
          <w:b/>
          <w:bCs/>
          <w:color w:val="1B4F72"/>
          <w:sz w:val="32"/>
          <w:szCs w:val="32"/>
        </w:rPr>
        <w:t xml:space="preserve">7. Data Migration — Practo to AyurGate</w:t>
      </w:r>
    </w:p>
    <w:p>
      <w:pPr>
        <w:pStyle w:val="Heading2"/>
        <w:spacing w:after="160" w:before="280"/>
      </w:pPr>
      <w:r>
        <w:rPr>
          <w:rFonts w:ascii="Arial" w:cs="Arial" w:eastAsia="Arial" w:hAnsi="Arial"/>
          <w:b/>
          <w:bCs/>
          <w:color w:val="2E75B6"/>
          <w:sz w:val="26"/>
          <w:szCs w:val="26"/>
        </w:rPr>
        <w:t xml:space="preserve">7.1 Scope</w:t>
      </w:r>
    </w:p>
    <w:p>
      <w:pPr>
        <w:spacing w:after="120"/>
      </w:pPr>
      <w:r>
        <w:rPr>
          <w:rFonts w:ascii="Arial" w:cs="Arial" w:eastAsia="Arial" w:hAnsi="Arial"/>
          <w:sz w:val="20"/>
          <w:szCs w:val="20"/>
        </w:rPr>
        <w:t xml:space="preserve">Migrating all historical data from Practo for two branches of Ayur Centre Pte Ltd: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Type</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Jurong Records</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Bedok Records</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Patients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~7,354</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TBD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Jurong exported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Appointments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~40,790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TBD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Jurong exported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Invoices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~23,701</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TBD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Jurong exported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Payments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~23,947</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TBD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Jurong exported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Treatments Done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~9,419</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TBD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Jurong exported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Treatment Plans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~11,481</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TBD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Jurong exported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Clinical Notes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~8,470</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TBD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Jurong exported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Prescriptions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~5,215</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TBD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Jurong exported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Procedure Catalog</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~125</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TBD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Jurong exported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Inventory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 Excel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 Excel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Pending</w:t>
            </w:r>
          </w:p>
        </w:tc>
      </w:tr>
    </w:tbl>
    <w:p>
      <w:pPr>
        <w:spacing w:after="80"/>
      </w:pPr>
    </w:p>
    <w:p>
      <w:pPr>
        <w:pStyle w:val="Heading2"/>
        <w:spacing w:after="160" w:before="280"/>
      </w:pPr>
      <w:r>
        <w:rPr>
          <w:rFonts w:ascii="Arial" w:cs="Arial" w:eastAsia="Arial" w:hAnsi="Arial"/>
          <w:b/>
          <w:bCs/>
          <w:color w:val="2E75B6"/>
          <w:sz w:val="26"/>
          <w:szCs w:val="26"/>
        </w:rPr>
        <w:t xml:space="preserve">7.2 Key Migration Challenges</w:t>
      </w:r>
    </w:p>
    <w:p>
      <w:pPr>
        <w:pStyle w:val="ListParagraph"/>
        <w:numPr>
          <w:ilvl w:val="0"/>
          <w:numId w:val="2"/>
        </w:numPr>
        <w:spacing w:after="80"/>
      </w:pPr>
      <w:r>
        <w:rPr>
          <w:rFonts w:ascii="Arial" w:cs="Arial" w:eastAsia="Arial" w:hAnsi="Arial"/>
          <w:sz w:val="20"/>
          <w:szCs w:val="20"/>
        </w:rPr>
        <w:t xml:space="preserve">Medicine name de-duplication: ~321 retail products with spelling variants (e.g., Churnam vs Choornam vs Choomam)</w:t>
      </w:r>
    </w:p>
    <w:p>
      <w:pPr>
        <w:pStyle w:val="ListParagraph"/>
        <w:numPr>
          <w:ilvl w:val="0"/>
          <w:numId w:val="2"/>
        </w:numPr>
        <w:spacing w:after="80"/>
      </w:pPr>
      <w:r>
        <w:rPr>
          <w:rFonts w:ascii="Arial" w:cs="Arial" w:eastAsia="Arial" w:hAnsi="Arial"/>
          <w:sz w:val="20"/>
          <w:szCs w:val="20"/>
        </w:rPr>
        <w:t xml:space="preserve">Cross-branch patient matching: same patient may visit both branches — match by mobile/NRIC</w:t>
      </w:r>
    </w:p>
    <w:p>
      <w:pPr>
        <w:pStyle w:val="ListParagraph"/>
        <w:numPr>
          <w:ilvl w:val="0"/>
          <w:numId w:val="2"/>
        </w:numPr>
        <w:spacing w:after="80"/>
      </w:pPr>
      <w:r>
        <w:rPr>
          <w:rFonts w:ascii="Arial" w:cs="Arial" w:eastAsia="Arial" w:hAnsi="Arial"/>
          <w:sz w:val="20"/>
          <w:szCs w:val="20"/>
        </w:rPr>
        <w:t xml:space="preserve">Doctor name mapping: free-text names in Practo to structured User records in AyurGate</w:t>
      </w:r>
    </w:p>
    <w:p>
      <w:pPr>
        <w:pStyle w:val="ListParagraph"/>
        <w:numPr>
          <w:ilvl w:val="0"/>
          <w:numId w:val="2"/>
        </w:numPr>
        <w:spacing w:after="80"/>
      </w:pPr>
      <w:r>
        <w:rPr>
          <w:rFonts w:ascii="Arial" w:cs="Arial" w:eastAsia="Arial" w:hAnsi="Arial"/>
          <w:sz w:val="20"/>
          <w:szCs w:val="20"/>
        </w:rPr>
        <w:t xml:space="preserve">Data quality: Practo CSV wraps values in extra single quotes — requires automated cleaning</w:t>
      </w:r>
    </w:p>
    <w:p>
      <w:pPr>
        <w:pStyle w:val="ListParagraph"/>
        <w:numPr>
          <w:ilvl w:val="0"/>
          <w:numId w:val="2"/>
        </w:numPr>
        <w:spacing w:after="80"/>
      </w:pPr>
      <w:r>
        <w:rPr>
          <w:rFonts w:ascii="Arial" w:cs="Arial" w:eastAsia="Arial" w:hAnsi="Arial"/>
          <w:sz w:val="20"/>
          <w:szCs w:val="20"/>
        </w:rPr>
        <w:t xml:space="preserve">Inventory gap: Practo has no stock levels — only sales history; current stock from Excel</w:t>
      </w:r>
    </w:p>
    <w:p>
      <w:pPr>
        <w:pStyle w:val="ListParagraph"/>
        <w:numPr>
          <w:ilvl w:val="0"/>
          <w:numId w:val="2"/>
        </w:numPr>
        <w:spacing w:after="80"/>
      </w:pPr>
      <w:r>
        <w:rPr>
          <w:rFonts w:ascii="Arial" w:cs="Arial" w:eastAsia="Arial" w:hAnsi="Arial"/>
          <w:sz w:val="20"/>
          <w:szCs w:val="20"/>
        </w:rPr>
        <w:t xml:space="preserve">Patient ID remapping: Practo uses B5347 format — needs mapping to AyurGate IDs with legacy reference</w:t>
      </w:r>
    </w:p>
    <w:p>
      <w:r>
        <w:br w:type="page"/>
      </w:r>
    </w:p>
    <w:p>
      <w:pPr>
        <w:pStyle w:val="Heading1"/>
        <w:spacing w:after="200" w:before="360"/>
      </w:pPr>
      <w:r>
        <w:rPr>
          <w:rFonts w:ascii="Arial" w:cs="Arial" w:eastAsia="Arial" w:hAnsi="Arial"/>
          <w:b/>
          <w:bCs/>
          <w:color w:val="1B4F72"/>
          <w:sz w:val="32"/>
          <w:szCs w:val="32"/>
        </w:rPr>
        <w:t xml:space="preserve">8.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Aspect</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JWT tokens in HTTP-only, secure, SameSite=Lax cookies (24hr TTL)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Google OAuth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OAuth 2.0 authorization code flow with PKCE-equivalent security</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2FA</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TOTP via Google Authenticator (otpauth library)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Password Storage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bcryptjs with automatic salt rounds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Multi-tenant Isolation</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Every DB query scoped by clinicId from JWT; middleware enforces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Route Protection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Next.js middleware checks auth_token cookie on every request</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Patient Portal</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Separate auth: PIN + OTP via SMS, isolated from admin auth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NRIC/Sensitive Data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Stored in DB; masked on display (S****785D)</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Audit Trail</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create/update/delete operations logged with userId, IP, timestamp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CORS &amp; CSRF</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SameSite cookie policy; origin validation on OAuth callbacks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API Rate Limiting</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Railway-level rate limiting + Next.js middleware</w:t>
            </w:r>
          </w:p>
        </w:tc>
      </w:tr>
    </w:tbl>
    <w:p>
      <w:r>
        <w:br w:type="page"/>
      </w:r>
    </w:p>
    <w:p>
      <w:pPr>
        <w:pStyle w:val="Heading1"/>
        <w:spacing w:after="200" w:before="360"/>
      </w:pPr>
      <w:r>
        <w:rPr>
          <w:rFonts w:ascii="Arial" w:cs="Arial" w:eastAsia="Arial" w:hAnsi="Arial"/>
          <w:b/>
          <w:bCs/>
          <w:color w:val="1B4F72"/>
          <w:sz w:val="32"/>
          <w:szCs w:val="32"/>
        </w:rPr>
        <w:t xml:space="preserve">9. Open Questions &amp; Discussion Points</w:t>
      </w:r>
    </w:p>
    <w:p>
      <w:pPr>
        <w:spacing w:after="120"/>
      </w:pPr>
      <w:r>
        <w:rPr>
          <w:rFonts w:ascii="Arial" w:cs="Arial" w:eastAsia="Arial" w:hAnsi="Arial"/>
          <w:sz w:val="20"/>
          <w:szCs w:val="20"/>
        </w:rPr>
        <w:t xml:space="preserve">The following areas require input from the database manager for planning and optimization:</w:t>
      </w:r>
    </w:p>
    <w:p>
      <w:pPr>
        <w:pStyle w:val="Heading2"/>
        <w:spacing w:after="160" w:before="280"/>
      </w:pPr>
      <w:r>
        <w:rPr>
          <w:rFonts w:ascii="Arial" w:cs="Arial" w:eastAsia="Arial" w:hAnsi="Arial"/>
          <w:b/>
          <w:bCs/>
          <w:color w:val="2E75B6"/>
          <w:sz w:val="26"/>
          <w:szCs w:val="26"/>
        </w:rPr>
        <w:t xml:space="preserve">9.1 Database Scaling Strategy</w:t>
      </w:r>
    </w:p>
    <w:p>
      <w:pPr>
        <w:pStyle w:val="ListParagraph"/>
        <w:numPr>
          <w:ilvl w:val="0"/>
          <w:numId w:val="2"/>
        </w:numPr>
        <w:spacing w:after="80"/>
      </w:pPr>
      <w:r>
        <w:rPr>
          <w:rFonts w:ascii="Arial" w:cs="Arial" w:eastAsia="Arial" w:hAnsi="Arial"/>
          <w:sz w:val="20"/>
          <w:szCs w:val="20"/>
        </w:rPr>
        <w:t xml:space="preserve">SQLite to PostgreSQL migration: When should we migrate? Current SQLite handles the load well, but multi-tenant SaaS at scale may need PostgreSQL for concurrent writes, connection pooling, and row-level security.</w:t>
      </w:r>
    </w:p>
    <w:p>
      <w:pPr>
        <w:pStyle w:val="ListParagraph"/>
        <w:numPr>
          <w:ilvl w:val="0"/>
          <w:numId w:val="2"/>
        </w:numPr>
        <w:spacing w:after="80"/>
      </w:pPr>
      <w:r>
        <w:rPr>
          <w:rFonts w:ascii="Arial" w:cs="Arial" w:eastAsia="Arial" w:hAnsi="Arial"/>
          <w:sz w:val="20"/>
          <w:szCs w:val="20"/>
        </w:rPr>
        <w:t xml:space="preserve">Read replicas: Should we plan for read replicas to handle analytics/reporting queries separately from transactional writes?</w:t>
      </w:r>
    </w:p>
    <w:p>
      <w:pPr>
        <w:pStyle w:val="ListParagraph"/>
        <w:numPr>
          <w:ilvl w:val="0"/>
          <w:numId w:val="2"/>
        </w:numPr>
        <w:spacing w:after="80"/>
      </w:pPr>
      <w:r>
        <w:rPr>
          <w:rFonts w:ascii="Arial" w:cs="Arial" w:eastAsia="Arial" w:hAnsi="Arial"/>
          <w:sz w:val="20"/>
          <w:szCs w:val="20"/>
        </w:rPr>
        <w:t xml:space="preserve">Backup strategy: Current approach is Railway volume snapshots. Need automated point-in-time recovery.</w:t>
      </w:r>
    </w:p>
    <w:p>
      <w:pPr>
        <w:pStyle w:val="Heading2"/>
        <w:spacing w:after="160" w:before="280"/>
      </w:pPr>
      <w:r>
        <w:rPr>
          <w:rFonts w:ascii="Arial" w:cs="Arial" w:eastAsia="Arial" w:hAnsi="Arial"/>
          <w:b/>
          <w:bCs/>
          <w:color w:val="2E75B6"/>
          <w:sz w:val="26"/>
          <w:szCs w:val="26"/>
        </w:rPr>
        <w:t xml:space="preserve">9.2 Data Migration Execution</w:t>
      </w:r>
    </w:p>
    <w:p>
      <w:pPr>
        <w:pStyle w:val="ListParagraph"/>
        <w:numPr>
          <w:ilvl w:val="0"/>
          <w:numId w:val="2"/>
        </w:numPr>
        <w:spacing w:after="80"/>
      </w:pPr>
      <w:r>
        <w:rPr>
          <w:rFonts w:ascii="Arial" w:cs="Arial" w:eastAsia="Arial" w:hAnsi="Arial"/>
          <w:sz w:val="20"/>
          <w:szCs w:val="20"/>
        </w:rPr>
        <w:t xml:space="preserve">Bulk insert performance: 100K+ records across multiple tables — what's the optimal batch size and transaction strategy?</w:t>
      </w:r>
    </w:p>
    <w:p>
      <w:pPr>
        <w:pStyle w:val="ListParagraph"/>
        <w:numPr>
          <w:ilvl w:val="0"/>
          <w:numId w:val="2"/>
        </w:numPr>
        <w:spacing w:after="80"/>
      </w:pPr>
      <w:r>
        <w:rPr>
          <w:rFonts w:ascii="Arial" w:cs="Arial" w:eastAsia="Arial" w:hAnsi="Arial"/>
          <w:sz w:val="20"/>
          <w:szCs w:val="20"/>
        </w:rPr>
        <w:t xml:space="preserve">Data validation framework: How to validate migrated data matches source? Checksums, row counts, financial reconciliation?</w:t>
      </w:r>
    </w:p>
    <w:p>
      <w:pPr>
        <w:pStyle w:val="ListParagraph"/>
        <w:numPr>
          <w:ilvl w:val="0"/>
          <w:numId w:val="2"/>
        </w:numPr>
        <w:spacing w:after="80"/>
      </w:pPr>
      <w:r>
        <w:rPr>
          <w:rFonts w:ascii="Arial" w:cs="Arial" w:eastAsia="Arial" w:hAnsi="Arial"/>
          <w:sz w:val="20"/>
          <w:szCs w:val="20"/>
        </w:rPr>
        <w:t xml:space="preserve">Rollback plan: If migration fails partway, how to cleanly roll back without affecting existing production data?</w:t>
      </w:r>
    </w:p>
    <w:p>
      <w:pPr>
        <w:pStyle w:val="Heading2"/>
        <w:spacing w:after="160" w:before="280"/>
      </w:pPr>
      <w:r>
        <w:rPr>
          <w:rFonts w:ascii="Arial" w:cs="Arial" w:eastAsia="Arial" w:hAnsi="Arial"/>
          <w:b/>
          <w:bCs/>
          <w:color w:val="2E75B6"/>
          <w:sz w:val="26"/>
          <w:szCs w:val="26"/>
        </w:rPr>
        <w:t xml:space="preserve">9.3 Performance Optimization</w:t>
      </w:r>
    </w:p>
    <w:p>
      <w:pPr>
        <w:pStyle w:val="ListParagraph"/>
        <w:numPr>
          <w:ilvl w:val="0"/>
          <w:numId w:val="2"/>
        </w:numPr>
        <w:spacing w:after="80"/>
      </w:pPr>
      <w:r>
        <w:rPr>
          <w:rFonts w:ascii="Arial" w:cs="Arial" w:eastAsia="Arial" w:hAnsi="Arial"/>
          <w:sz w:val="20"/>
          <w:szCs w:val="20"/>
        </w:rPr>
        <w:t xml:space="preserve">Index strategy: Current indexes are on clinicId, date, and foreign keys. With 40K+ appointments and growing, which composite indexes would help most?</w:t>
      </w:r>
    </w:p>
    <w:p>
      <w:pPr>
        <w:pStyle w:val="ListParagraph"/>
        <w:numPr>
          <w:ilvl w:val="0"/>
          <w:numId w:val="2"/>
        </w:numPr>
        <w:spacing w:after="80"/>
      </w:pPr>
      <w:r>
        <w:rPr>
          <w:rFonts w:ascii="Arial" w:cs="Arial" w:eastAsia="Arial" w:hAnsi="Arial"/>
          <w:sz w:val="20"/>
          <w:szCs w:val="20"/>
        </w:rPr>
        <w:t xml:space="preserve">Query optimization: Dashboard aggregation queries (revenue by month, appointment counts, inventory valuation) — should we pre-compute with materialized views?</w:t>
      </w:r>
    </w:p>
    <w:p>
      <w:pPr>
        <w:pStyle w:val="ListParagraph"/>
        <w:numPr>
          <w:ilvl w:val="0"/>
          <w:numId w:val="2"/>
        </w:numPr>
        <w:spacing w:after="80"/>
      </w:pPr>
      <w:r>
        <w:rPr>
          <w:rFonts w:ascii="Arial" w:cs="Arial" w:eastAsia="Arial" w:hAnsi="Arial"/>
          <w:sz w:val="20"/>
          <w:szCs w:val="20"/>
        </w:rPr>
        <w:t xml:space="preserve">Archive strategy: Historical data (appointments older than 2 years, audit logs) — archive to cold storage or partition?</w:t>
      </w:r>
    </w:p>
    <w:p>
      <w:pPr>
        <w:pStyle w:val="Heading2"/>
        <w:spacing w:after="160" w:before="280"/>
      </w:pPr>
      <w:r>
        <w:rPr>
          <w:rFonts w:ascii="Arial" w:cs="Arial" w:eastAsia="Arial" w:hAnsi="Arial"/>
          <w:b/>
          <w:bCs/>
          <w:color w:val="2E75B6"/>
          <w:sz w:val="26"/>
          <w:szCs w:val="26"/>
        </w:rPr>
        <w:t xml:space="preserve">9.4 Multi-Tenant Architecture</w:t>
      </w:r>
    </w:p>
    <w:p>
      <w:pPr>
        <w:pStyle w:val="ListParagraph"/>
        <w:numPr>
          <w:ilvl w:val="0"/>
          <w:numId w:val="2"/>
        </w:numPr>
        <w:spacing w:after="80"/>
      </w:pPr>
      <w:r>
        <w:rPr>
          <w:rFonts w:ascii="Arial" w:cs="Arial" w:eastAsia="Arial" w:hAnsi="Arial"/>
          <w:sz w:val="20"/>
          <w:szCs w:val="20"/>
        </w:rPr>
        <w:t xml:space="preserve">Current approach: shared-schema with clinicId column. At what tenant count should we consider database-per-tenant?</w:t>
      </w:r>
    </w:p>
    <w:p>
      <w:pPr>
        <w:pStyle w:val="ListParagraph"/>
        <w:numPr>
          <w:ilvl w:val="0"/>
          <w:numId w:val="2"/>
        </w:numPr>
        <w:spacing w:after="80"/>
      </w:pPr>
      <w:r>
        <w:rPr>
          <w:rFonts w:ascii="Arial" w:cs="Arial" w:eastAsia="Arial" w:hAnsi="Arial"/>
          <w:sz w:val="20"/>
          <w:szCs w:val="20"/>
        </w:rPr>
        <w:t xml:space="preserve">Row-level security: Prisma handles this at application level. Should we add database-level RLS (if migrating to PostgreSQL)?</w:t>
      </w:r>
    </w:p>
    <w:p>
      <w:pPr>
        <w:pStyle w:val="ListParagraph"/>
        <w:numPr>
          <w:ilvl w:val="0"/>
          <w:numId w:val="2"/>
        </w:numPr>
        <w:spacing w:after="80"/>
      </w:pPr>
      <w:r>
        <w:rPr>
          <w:rFonts w:ascii="Arial" w:cs="Arial" w:eastAsia="Arial" w:hAnsi="Arial"/>
          <w:sz w:val="20"/>
          <w:szCs w:val="20"/>
        </w:rPr>
        <w:t xml:space="preserve">Tenant data isolation testing: How to audit that no cross-tenant data leakage exists?</w:t>
      </w:r>
    </w:p>
    <w:p>
      <w:pPr>
        <w:pStyle w:val="Heading2"/>
        <w:spacing w:after="160" w:before="280"/>
      </w:pPr>
      <w:r>
        <w:rPr>
          <w:rFonts w:ascii="Arial" w:cs="Arial" w:eastAsia="Arial" w:hAnsi="Arial"/>
          <w:b/>
          <w:bCs/>
          <w:color w:val="2E75B6"/>
          <w:sz w:val="26"/>
          <w:szCs w:val="26"/>
        </w:rPr>
        <w:t xml:space="preserve">9.5 Compliance &amp; Data Governance</w:t>
      </w:r>
    </w:p>
    <w:p>
      <w:pPr>
        <w:pStyle w:val="ListParagraph"/>
        <w:numPr>
          <w:ilvl w:val="0"/>
          <w:numId w:val="2"/>
        </w:numPr>
        <w:spacing w:after="80"/>
      </w:pPr>
      <w:r>
        <w:rPr>
          <w:rFonts w:ascii="Arial" w:cs="Arial" w:eastAsia="Arial" w:hAnsi="Arial"/>
          <w:sz w:val="20"/>
          <w:szCs w:val="20"/>
        </w:rPr>
        <w:t xml:space="preserve">PDPA compliance (Singapore Personal Data Protection Act): Patient NRIC, medical records — encryption at rest?</w:t>
      </w:r>
    </w:p>
    <w:p>
      <w:pPr>
        <w:pStyle w:val="ListParagraph"/>
        <w:numPr>
          <w:ilvl w:val="0"/>
          <w:numId w:val="2"/>
        </w:numPr>
        <w:spacing w:after="80"/>
      </w:pPr>
      <w:r>
        <w:rPr>
          <w:rFonts w:ascii="Arial" w:cs="Arial" w:eastAsia="Arial" w:hAnsi="Arial"/>
          <w:sz w:val="20"/>
          <w:szCs w:val="20"/>
        </w:rPr>
        <w:t xml:space="preserve">Data retention policy: How long to keep patient records, financial data, audit logs per Singapore healthcare regulations?</w:t>
      </w:r>
    </w:p>
    <w:p>
      <w:pPr>
        <w:pStyle w:val="ListParagraph"/>
        <w:numPr>
          <w:ilvl w:val="0"/>
          <w:numId w:val="2"/>
        </w:numPr>
        <w:spacing w:after="80"/>
      </w:pPr>
      <w:r>
        <w:rPr>
          <w:rFonts w:ascii="Arial" w:cs="Arial" w:eastAsia="Arial" w:hAnsi="Arial"/>
          <w:sz w:val="20"/>
          <w:szCs w:val="20"/>
        </w:rPr>
        <w:t xml:space="preserve">CPF data handling: Employee NRIC + salary data — what encryption/access controls are needed?</w:t>
      </w:r>
    </w:p>
    <w:p>
      <w:pPr>
        <w:pStyle w:val="Heading2"/>
        <w:spacing w:after="160" w:before="280"/>
      </w:pPr>
      <w:r>
        <w:rPr>
          <w:rFonts w:ascii="Arial" w:cs="Arial" w:eastAsia="Arial" w:hAnsi="Arial"/>
          <w:b/>
          <w:bCs/>
          <w:color w:val="2E75B6"/>
          <w:sz w:val="26"/>
          <w:szCs w:val="26"/>
        </w:rPr>
        <w:t xml:space="preserve">9.6 Immediate Priorities</w:t>
      </w:r>
    </w:p>
    <w:p>
      <w:pPr>
        <w:pStyle w:val="ListParagraph"/>
        <w:numPr>
          <w:ilvl w:val="0"/>
          <w:numId w:val="3"/>
        </w:numPr>
        <w:spacing w:after="80"/>
      </w:pPr>
      <w:r>
        <w:rPr>
          <w:rFonts w:ascii="Arial" w:cs="Arial" w:eastAsia="Arial" w:hAnsi="Arial"/>
          <w:sz w:val="20"/>
          <w:szCs w:val="20"/>
        </w:rPr>
        <w:t xml:space="preserve">Employee data import: Upload 31 employees from MOM listing + CPF data into AyurGate</w:t>
      </w:r>
    </w:p>
    <w:p>
      <w:pPr>
        <w:pStyle w:val="ListParagraph"/>
        <w:numPr>
          <w:ilvl w:val="0"/>
          <w:numId w:val="3"/>
        </w:numPr>
        <w:spacing w:after="80"/>
      </w:pPr>
      <w:r>
        <w:rPr>
          <w:rFonts w:ascii="Arial" w:cs="Arial" w:eastAsia="Arial" w:hAnsi="Arial"/>
          <w:sz w:val="20"/>
          <w:szCs w:val="20"/>
        </w:rPr>
        <w:t xml:space="preserve">Practo migration: Build import tool for Bedok + Jurong clinical data</w:t>
      </w:r>
    </w:p>
    <w:p>
      <w:pPr>
        <w:pStyle w:val="ListParagraph"/>
        <w:numPr>
          <w:ilvl w:val="0"/>
          <w:numId w:val="3"/>
        </w:numPr>
        <w:spacing w:after="80"/>
      </w:pPr>
      <w:r>
        <w:rPr>
          <w:rFonts w:ascii="Arial" w:cs="Arial" w:eastAsia="Arial" w:hAnsi="Arial"/>
          <w:sz w:val="20"/>
          <w:szCs w:val="20"/>
        </w:rPr>
        <w:t xml:space="preserve">Inventory reconciliation: Merge Practo product catalog + Excel stock data</w:t>
      </w:r>
    </w:p>
    <w:p>
      <w:pPr>
        <w:pStyle w:val="ListParagraph"/>
        <w:numPr>
          <w:ilvl w:val="0"/>
          <w:numId w:val="3"/>
        </w:numPr>
        <w:spacing w:after="80"/>
      </w:pPr>
      <w:r>
        <w:rPr>
          <w:rFonts w:ascii="Arial" w:cs="Arial" w:eastAsia="Arial" w:hAnsi="Arial"/>
          <w:sz w:val="20"/>
          <w:szCs w:val="20"/>
        </w:rPr>
        <w:t xml:space="preserve">Database scaling assessment: Evaluate SQLite limits and PostgreSQL migration timeline</w:t>
      </w:r>
    </w:p>
    <w:p>
      <w:pPr>
        <w:spacing w:after="80"/>
      </w:pPr>
    </w:p>
    <w:p>
      <w:pPr>
        <w:pBdr>
          <w:top w:val="single" w:color="2E75B6" w:sz="4" w:space="1"/>
        </w:pBdr>
        <w:spacing w:before="400"/>
      </w:pPr>
    </w:p>
    <w:p>
      <w:pPr>
        <w:spacing w:before="200"/>
        <w:jc w:val="center"/>
      </w:pPr>
      <w:r>
        <w:rPr>
          <w:rFonts w:ascii="Arial" w:cs="Arial" w:eastAsia="Arial" w:hAnsi="Arial"/>
          <w:i/>
          <w:iCs/>
          <w:color w:val="999999"/>
          <w:sz w:val="18"/>
          <w:szCs w:val="18"/>
        </w:rPr>
        <w:t xml:space="preserve">End of Document</w:t>
      </w:r>
    </w:p>
    <w:p>
      <w:pPr>
        <w:spacing w:after="80"/>
        <w:jc w:val="center"/>
      </w:pPr>
      <w:r>
        <w:rPr>
          <w:rFonts w:ascii="Arial" w:cs="Arial" w:eastAsia="Arial" w:hAnsi="Arial"/>
          <w:color w:val="999999"/>
          <w:sz w:val="16"/>
          <w:szCs w:val="16"/>
        </w:rPr>
        <w:t xml:space="preserve">AyurGate System Architecture v1.0 — April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999999"/>
        <w:sz w:val="16"/>
        <w:szCs w:val="16"/>
      </w:rPr>
      <w:t xml:space="preserve">AyurGate — System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2026-04-12T10:11:57.832Z</dcterms:created>
  <dcterms:modified xsi:type="dcterms:W3CDTF">2026-04-12T10:11:57.833Z</dcterms:modified>
</cp:coreProperties>
</file>

<file path=docProps/custom.xml><?xml version="1.0" encoding="utf-8"?>
<Properties xmlns="http://schemas.openxmlformats.org/officeDocument/2006/custom-properties" xmlns:vt="http://schemas.openxmlformats.org/officeDocument/2006/docPropsVTypes"/>
</file>