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Times New Roman" w:hAnsi="Times New Roman"/>
          <w:b/>
          <w:sz w:val="36"/>
        </w:rPr>
        <w:t>A PROJECT REPORT</w:t>
      </w:r>
    </w:p>
    <w:p>
      <w:pPr>
        <w:spacing w:line="360" w:lineRule="auto" w:after="160"/>
        <w:jc w:val="center"/>
      </w:pPr>
      <w:r>
        <w:rPr>
          <w:rFonts w:ascii="Times New Roman" w:hAnsi="Times New Roman"/>
          <w:b/>
          <w:sz w:val="28"/>
        </w:rPr>
        <w:t>Submitted by</w:t>
      </w:r>
    </w:p>
    <w:p>
      <w:pPr>
        <w:spacing w:line="360" w:lineRule="auto" w:after="320"/>
        <w:jc w:val="center"/>
      </w:pPr>
      <w:r>
        <w:rPr>
          <w:rFonts w:ascii="Times New Roman" w:hAnsi="Times New Roman"/>
          <w:b/>
          <w:i/>
          <w:sz w:val="28"/>
        </w:rPr>
        <w:t>AYUSH TIWARI (UID: 21BCS10403)</w:t>
      </w:r>
    </w:p>
    <w:p>
      <w:pPr>
        <w:spacing w:line="360" w:lineRule="auto" w:after="240"/>
        <w:jc w:val="center"/>
      </w:pPr>
      <w:r>
        <w:rPr>
          <w:rFonts w:ascii="Times New Roman" w:hAnsi="Times New Roman"/>
          <w:b/>
          <w:sz w:val="32"/>
        </w:rPr>
        <w:t>in partial fulfillment for the award of the degree of</w:t>
      </w:r>
    </w:p>
    <w:p>
      <w:pPr>
        <w:spacing w:line="360" w:lineRule="auto" w:after="160"/>
        <w:jc w:val="center"/>
      </w:pPr>
      <w:r>
        <w:rPr>
          <w:rFonts w:ascii="Times New Roman" w:hAnsi="Times New Roman"/>
          <w:b/>
          <w:i/>
          <w:sz w:val="28"/>
        </w:rPr>
        <w:t>BACHELOR OF ENGINEERING</w:t>
      </w:r>
    </w:p>
    <w:p>
      <w:pPr>
        <w:spacing w:line="360" w:lineRule="auto" w:after="80"/>
        <w:jc w:val="center"/>
      </w:pPr>
      <w:r>
        <w:rPr>
          <w:rFonts w:ascii="Times New Roman" w:hAnsi="Times New Roman"/>
          <w:b/>
          <w:sz w:val="32"/>
        </w:rPr>
        <w:t>IN</w:t>
      </w:r>
    </w:p>
    <w:p>
      <w:pPr>
        <w:spacing w:line="360" w:lineRule="auto" w:after="400"/>
        <w:jc w:val="center"/>
      </w:pPr>
      <w:r>
        <w:rPr>
          <w:rFonts w:ascii="Times New Roman" w:hAnsi="Times New Roman"/>
          <w:b/>
          <w:sz w:val="28"/>
        </w:rPr>
        <w:t>COMPUTER SCIENCE &amp; ENGINEERING</w:t>
        <w:br/>
        <w:t>(ARTIFICIAL INTELLIGENCE &amp; MACHINE LEARNING)</w:t>
      </w:r>
    </w:p>
    <w:p>
      <w:pPr>
        <w:spacing w:after="280"/>
        <w:jc w:val="center"/>
      </w:pPr>
      <w:r>
        <w:drawing>
          <wp:inline xmlns:a="http://schemas.openxmlformats.org/drawingml/2006/main" xmlns:pic="http://schemas.openxmlformats.org/drawingml/2006/picture">
            <wp:extent cx="2194560" cy="3478171"/>
            <wp:docPr id="1" name="Picture 1"/>
            <wp:cNvGraphicFramePr>
              <a:graphicFrameLocks noChangeAspect="1"/>
            </wp:cNvGraphicFramePr>
            <a:graphic>
              <a:graphicData uri="http://schemas.openxmlformats.org/drawingml/2006/picture">
                <pic:pic>
                  <pic:nvPicPr>
                    <pic:cNvPr id="0" name="cu_logo.png"/>
                    <pic:cNvPicPr/>
                  </pic:nvPicPr>
                  <pic:blipFill>
                    <a:blip r:embed="rId9"/>
                    <a:stretch>
                      <a:fillRect/>
                    </a:stretch>
                  </pic:blipFill>
                  <pic:spPr>
                    <a:xfrm>
                      <a:off x="0" y="0"/>
                      <a:ext cx="2194560" cy="3478171"/>
                    </a:xfrm>
                    <a:prstGeom prst="rect"/>
                  </pic:spPr>
                </pic:pic>
              </a:graphicData>
            </a:graphic>
          </wp:inline>
        </w:drawing>
      </w:r>
    </w:p>
    <w:p>
      <w:pPr>
        <w:spacing w:line="360" w:lineRule="auto" w:after="80"/>
        <w:jc w:val="center"/>
      </w:pPr>
      <w:r>
        <w:rPr>
          <w:rFonts w:ascii="Times New Roman" w:hAnsi="Times New Roman"/>
          <w:b/>
          <w:sz w:val="28"/>
        </w:rPr>
        <w:t>CHANDIGARH UNIVERSITY</w:t>
        <w:br/>
        <w:t>GHARUAN, MOHALI, PUNJAB</w:t>
      </w:r>
    </w:p>
    <w:p>
      <w:pPr>
        <w:spacing w:line="360" w:lineRule="auto" w:after="0"/>
        <w:jc w:val="center"/>
      </w:pPr>
      <w:r>
        <w:rPr>
          <w:rFonts w:ascii="Times New Roman" w:hAnsi="Times New Roman"/>
          <w:b/>
          <w:sz w:val="28"/>
        </w:rPr>
        <w:t>DECEMBER 2026</w:t>
      </w:r>
    </w:p>
    <w:p>
      <w:r>
        <w:br w:type="page"/>
      </w:r>
    </w:p>
    <w:p>
      <w:pPr>
        <w:spacing w:after="480"/>
        <w:jc w:val="center"/>
      </w:pPr>
      <w:r>
        <w:rPr>
          <w:rFonts w:ascii="Times New Roman" w:hAnsi="Times New Roman"/>
          <w:b/>
          <w:sz w:val="32"/>
        </w:rPr>
        <w:t>BONAFIDE CERTIFICATE</w:t>
      </w:r>
    </w:p>
    <w:p>
      <w:pPr>
        <w:spacing w:line="360" w:lineRule="auto" w:after="720"/>
        <w:jc w:val="both"/>
      </w:pPr>
      <w:r>
        <w:rPr>
          <w:rFonts w:ascii="Times New Roman" w:hAnsi="Times New Roman"/>
          <w:sz w:val="28"/>
        </w:rPr>
        <w:t>Certified that this project report “AURA PREDICTOR: ENTERPRISE HR SALARY HIKE &amp; DECISION SUPPORT SYSTEM USING MACHINE LEARNING ENSEMBLES” is the bonafide work of “AYUSH TIWARI (UID: 21BCS10403)” who carried out the project work under my/our supervision.</w:t>
      </w:r>
    </w:p>
    <w:tbl>
      <w:tblPr>
        <w:tblW w:type="auto" w:w="0"/>
        <w:jc w:val="center"/>
        <w:tblLayout w:type="fixed"/>
        <w:tblLook w:firstColumn="1" w:firstRow="1" w:lastColumn="0" w:lastRow="0" w:noHBand="0" w:noVBand="1" w:val="04A0"/>
      </w:tblPr>
      <w:tblGrid>
        <w:gridCol w:w="4608"/>
        <w:gridCol w:w="4608"/>
      </w:tblGrid>
      <w:tr>
        <w:tc>
          <w:tcPr>
            <w:tcW w:type="dxa" w:w="4500"/>
          </w:tcPr>
          <w:p>
            <w:pPr>
              <w:spacing w:line="312" w:lineRule="auto"/>
            </w:pPr>
            <w:r>
              <w:rPr>
                <w:b/>
              </w:rPr>
              <w:t>&lt;&lt;Signature of the HoD&gt;&gt;</w:t>
              <w:br/>
              <w:br/>
              <w:br/>
              <w:br/>
              <w:t>SIGNATURE</w:t>
              <w:br/>
            </w:r>
            <w:r>
              <w:t>Dr. Harpreet Singh</w:t>
              <w:br/>
              <w:t>HEAD OF THE DEPARTMENT</w:t>
              <w:br/>
              <w:t>Department of Computer Science &amp; Engineering</w:t>
              <w:br/>
              <w:t>Chandigarh University</w:t>
            </w:r>
          </w:p>
        </w:tc>
        <w:tc>
          <w:tcPr>
            <w:tcW w:type="dxa" w:w="4500"/>
          </w:tcPr>
          <w:p>
            <w:pPr>
              <w:spacing w:line="312" w:lineRule="auto"/>
            </w:pPr>
            <w:r>
              <w:rPr>
                <w:b/>
              </w:rPr>
              <w:t>&lt;&lt;Signature of the Supervisor&gt;&gt;</w:t>
              <w:br/>
              <w:br/>
              <w:br/>
              <w:br/>
              <w:t>SIGNATURE</w:t>
              <w:br/>
            </w:r>
            <w:r>
              <w:t>Er. Vikram Sharma</w:t>
              <w:br/>
              <w:t>SUPERVISOR</w:t>
              <w:br/>
              <w:t>Assistant Professor</w:t>
              <w:br/>
              <w:t>Department of Computer Science &amp; Engineering</w:t>
              <w:br/>
              <w:t>Chandigarh University</w:t>
            </w:r>
          </w:p>
        </w:tc>
      </w:tr>
      <w:tr>
        <w:tc>
          <w:tcPr>
            <w:tcW w:type="dxa" w:w="4500"/>
          </w:tcPr>
          <w:p>
            <w:pPr>
              <w:spacing w:before="800"/>
            </w:pPr>
            <w:r>
              <w:rPr>
                <w:b/>
              </w:rPr>
              <w:t>Submitted for the project viva-voce examination held on: _____________</w:t>
              <w:br/>
              <w:br/>
              <w:br/>
              <w:br/>
              <w:t>INTERNAL EXAMINER</w:t>
            </w:r>
          </w:p>
        </w:tc>
        <w:tc>
          <w:tcPr>
            <w:tcW w:type="dxa" w:w="4500"/>
          </w:tcPr>
          <w:p>
            <w:pPr>
              <w:spacing w:before="800"/>
            </w:pPr>
            <w:r>
              <w:rPr>
                <w:b/>
              </w:rPr>
              <w:br/>
              <w:br/>
              <w:br/>
              <w:br/>
              <w:br/>
              <w:t>EXTERNAL EXAMINER</w:t>
            </w:r>
          </w:p>
        </w:tc>
      </w:tr>
    </w:tbl>
    <w:p>
      <w:r>
        <w:br w:type="page"/>
      </w:r>
    </w:p>
    <w:p>
      <w:pPr>
        <w:spacing w:after="360"/>
        <w:jc w:val="center"/>
      </w:pPr>
      <w:r>
        <w:rPr>
          <w:rFonts w:ascii="Times New Roman" w:hAnsi="Times New Roman"/>
          <w:b/>
          <w:sz w:val="32"/>
        </w:rPr>
        <w:t>TABLE OF CONTENTS</w:t>
      </w:r>
    </w:p>
    <w:p>
      <w:pPr>
        <w:spacing w:line="312" w:lineRule="auto" w:after="60"/>
      </w:pPr>
      <w:r>
        <w:rPr>
          <w:b/>
        </w:rPr>
        <w:t>List of Figures</w:t>
      </w:r>
      <w:r>
        <w:rPr>
          <w:color w:val="787878"/>
        </w:rPr>
        <w:t xml:space="preserve"> ............................................................ </w:t>
      </w:r>
      <w:r>
        <w:rPr>
          <w:b/>
        </w:rPr>
        <w:t>7</w:t>
      </w:r>
    </w:p>
    <w:p>
      <w:pPr>
        <w:spacing w:line="312" w:lineRule="auto" w:after="60"/>
      </w:pPr>
      <w:r>
        <w:rPr>
          <w:b/>
        </w:rPr>
        <w:t>List of Tables</w:t>
      </w:r>
      <w:r>
        <w:rPr>
          <w:color w:val="787878"/>
        </w:rPr>
        <w:t xml:space="preserve"> ............................................................. </w:t>
      </w:r>
      <w:r>
        <w:rPr>
          <w:b/>
        </w:rPr>
        <w:t>8</w:t>
      </w:r>
    </w:p>
    <w:p>
      <w:pPr>
        <w:spacing w:line="312" w:lineRule="auto" w:after="60"/>
      </w:pPr>
      <w:r>
        <w:rPr>
          <w:b/>
        </w:rPr>
        <w:t>List of Standards</w:t>
      </w:r>
      <w:r>
        <w:rPr>
          <w:color w:val="787878"/>
        </w:rPr>
        <w:t xml:space="preserve"> .......................................................... </w:t>
      </w:r>
      <w:r>
        <w:rPr>
          <w:b/>
        </w:rPr>
        <w:t>9</w:t>
      </w:r>
    </w:p>
    <w:p>
      <w:pPr>
        <w:spacing w:line="312" w:lineRule="auto" w:after="60"/>
      </w:pPr>
      <w:r>
        <w:rPr>
          <w:b/>
        </w:rPr>
        <w:t>Abstract</w:t>
      </w:r>
      <w:r>
        <w:rPr>
          <w:color w:val="787878"/>
        </w:rPr>
        <w:t xml:space="preserve"> ................................................................... </w:t>
      </w:r>
      <w:r>
        <w:rPr>
          <w:b/>
        </w:rPr>
        <w:t>10</w:t>
      </w:r>
    </w:p>
    <w:p>
      <w:pPr>
        <w:spacing w:line="312" w:lineRule="auto" w:after="60"/>
      </w:pPr>
      <w:r>
        <w:rPr>
          <w:b w:val="0"/>
        </w:rPr>
        <w:t>Graphical Abstract</w:t>
      </w:r>
      <w:r>
        <w:rPr>
          <w:color w:val="787878"/>
        </w:rPr>
        <w:t xml:space="preserve"> ......................................................... </w:t>
      </w:r>
      <w:r>
        <w:rPr>
          <w:b w:val="0"/>
        </w:rPr>
        <w:t>11</w:t>
      </w:r>
    </w:p>
    <w:p>
      <w:pPr>
        <w:spacing w:line="312" w:lineRule="auto" w:after="60"/>
      </w:pPr>
      <w:r>
        <w:rPr>
          <w:b w:val="0"/>
        </w:rPr>
        <w:t>Abbreviations</w:t>
      </w:r>
      <w:r>
        <w:rPr>
          <w:color w:val="787878"/>
        </w:rPr>
        <w:t xml:space="preserve"> .............................................................. </w:t>
      </w:r>
      <w:r>
        <w:rPr>
          <w:b w:val="0"/>
        </w:rPr>
        <w:t>12</w:t>
      </w:r>
    </w:p>
    <w:p>
      <w:pPr>
        <w:spacing w:line="312" w:lineRule="auto" w:after="60"/>
      </w:pPr>
      <w:r>
        <w:rPr>
          <w:b w:val="0"/>
        </w:rPr>
        <w:t>Symbols</w:t>
      </w:r>
      <w:r>
        <w:rPr>
          <w:color w:val="787878"/>
        </w:rPr>
        <w:t xml:space="preserve"> .................................................................... </w:t>
      </w:r>
      <w:r>
        <w:rPr>
          <w:b w:val="0"/>
        </w:rPr>
        <w:t>13</w:t>
      </w:r>
    </w:p>
    <w:p>
      <w:pPr>
        <w:spacing w:line="312" w:lineRule="auto" w:after="60"/>
      </w:pPr>
      <w:r>
        <w:rPr>
          <w:b/>
        </w:rPr>
        <w:t>CHAPTER 1. INTRODUCTION</w:t>
      </w:r>
      <w:r>
        <w:rPr>
          <w:color w:val="787878"/>
        </w:rPr>
        <w:t xml:space="preserve"> .................................................... </w:t>
      </w:r>
      <w:r>
        <w:rPr>
          <w:b/>
        </w:rPr>
        <w:t>14</w:t>
      </w:r>
    </w:p>
    <w:p>
      <w:pPr>
        <w:spacing w:line="312" w:lineRule="auto" w:after="60"/>
      </w:pPr>
      <w:r>
        <w:rPr>
          <w:b w:val="0"/>
        </w:rPr>
        <w:t xml:space="preserve">    1.1 Identification of Client / Need / Relevant Contemporary Issue</w:t>
      </w:r>
      <w:r>
        <w:rPr>
          <w:color w:val="787878"/>
        </w:rPr>
        <w:t xml:space="preserve"> ...... </w:t>
      </w:r>
      <w:r>
        <w:rPr>
          <w:b w:val="0"/>
        </w:rPr>
        <w:t>14</w:t>
      </w:r>
    </w:p>
    <w:p>
      <w:pPr>
        <w:spacing w:line="312" w:lineRule="auto" w:after="60"/>
      </w:pPr>
      <w:r>
        <w:rPr>
          <w:b w:val="0"/>
        </w:rPr>
        <w:t xml:space="preserve">    1.2 Identification of Problem</w:t>
      </w:r>
      <w:r>
        <w:rPr>
          <w:color w:val="787878"/>
        </w:rPr>
        <w:t xml:space="preserve"> .......................................... </w:t>
      </w:r>
      <w:r>
        <w:rPr>
          <w:b w:val="0"/>
        </w:rPr>
        <w:t>15</w:t>
      </w:r>
    </w:p>
    <w:p>
      <w:pPr>
        <w:spacing w:line="312" w:lineRule="auto" w:after="60"/>
      </w:pPr>
      <w:r>
        <w:rPr>
          <w:b w:val="0"/>
        </w:rPr>
        <w:t xml:space="preserve">    1.3 Identification of Tasks</w:t>
      </w:r>
      <w:r>
        <w:rPr>
          <w:color w:val="787878"/>
        </w:rPr>
        <w:t xml:space="preserve"> ............................................ </w:t>
      </w:r>
      <w:r>
        <w:rPr>
          <w:b w:val="0"/>
        </w:rPr>
        <w:t>16</w:t>
      </w:r>
    </w:p>
    <w:p>
      <w:pPr>
        <w:spacing w:line="312" w:lineRule="auto" w:after="60"/>
      </w:pPr>
      <w:r>
        <w:rPr>
          <w:b w:val="0"/>
        </w:rPr>
        <w:t xml:space="preserve">    1.4 Timeline</w:t>
      </w:r>
      <w:r>
        <w:rPr>
          <w:color w:val="787878"/>
        </w:rPr>
        <w:t xml:space="preserve"> ........................................................... </w:t>
      </w:r>
      <w:r>
        <w:rPr>
          <w:b w:val="0"/>
        </w:rPr>
        <w:t>17</w:t>
      </w:r>
    </w:p>
    <w:p>
      <w:pPr>
        <w:spacing w:line="312" w:lineRule="auto" w:after="60"/>
      </w:pPr>
      <w:r>
        <w:rPr>
          <w:b w:val="0"/>
        </w:rPr>
        <w:t xml:space="preserve">    1.5 Organization of the Report</w:t>
      </w:r>
      <w:r>
        <w:rPr>
          <w:color w:val="787878"/>
        </w:rPr>
        <w:t xml:space="preserve"> ......................................... </w:t>
      </w:r>
      <w:r>
        <w:rPr>
          <w:b w:val="0"/>
        </w:rPr>
        <w:t>18</w:t>
      </w:r>
    </w:p>
    <w:p>
      <w:pPr>
        <w:spacing w:line="312" w:lineRule="auto" w:after="60"/>
      </w:pPr>
      <w:r>
        <w:rPr>
          <w:b/>
        </w:rPr>
        <w:t>CHAPTER 2. LITERATURE REVIEW / BACKGROUND STUDY</w:t>
      </w:r>
      <w:r>
        <w:rPr>
          <w:color w:val="787878"/>
        </w:rPr>
        <w:t xml:space="preserve"> ............................ </w:t>
      </w:r>
      <w:r>
        <w:rPr>
          <w:b/>
        </w:rPr>
        <w:t>19</w:t>
      </w:r>
    </w:p>
    <w:p>
      <w:pPr>
        <w:spacing w:line="312" w:lineRule="auto" w:after="60"/>
      </w:pPr>
      <w:r>
        <w:rPr>
          <w:b w:val="0"/>
        </w:rPr>
        <w:t xml:space="preserve">    2.1 Timeline of the Reported Problem</w:t>
      </w:r>
      <w:r>
        <w:rPr>
          <w:color w:val="787878"/>
        </w:rPr>
        <w:t xml:space="preserve"> ................................... </w:t>
      </w:r>
      <w:r>
        <w:rPr>
          <w:b w:val="0"/>
        </w:rPr>
        <w:t>19</w:t>
      </w:r>
    </w:p>
    <w:p>
      <w:pPr>
        <w:spacing w:line="312" w:lineRule="auto" w:after="60"/>
      </w:pPr>
      <w:r>
        <w:rPr>
          <w:b w:val="0"/>
        </w:rPr>
        <w:t xml:space="preserve">    2.2 Existing Solutions</w:t>
      </w:r>
      <w:r>
        <w:rPr>
          <w:color w:val="787878"/>
        </w:rPr>
        <w:t xml:space="preserve"> ................................................. </w:t>
      </w:r>
      <w:r>
        <w:rPr>
          <w:b w:val="0"/>
        </w:rPr>
        <w:t>20</w:t>
      </w:r>
    </w:p>
    <w:p>
      <w:pPr>
        <w:spacing w:line="312" w:lineRule="auto" w:after="60"/>
      </w:pPr>
      <w:r>
        <w:rPr>
          <w:b w:val="0"/>
        </w:rPr>
        <w:t xml:space="preserve">    2.3 Bibliometric Analysis</w:t>
      </w:r>
      <w:r>
        <w:rPr>
          <w:color w:val="787878"/>
        </w:rPr>
        <w:t xml:space="preserve"> .............................................. </w:t>
      </w:r>
      <w:r>
        <w:rPr>
          <w:b w:val="0"/>
        </w:rPr>
        <w:t>21</w:t>
      </w:r>
    </w:p>
    <w:p>
      <w:pPr>
        <w:spacing w:line="312" w:lineRule="auto" w:after="60"/>
      </w:pPr>
      <w:r>
        <w:rPr>
          <w:b w:val="0"/>
        </w:rPr>
        <w:t xml:space="preserve">    2.4 Review Summary</w:t>
      </w:r>
      <w:r>
        <w:rPr>
          <w:color w:val="787878"/>
        </w:rPr>
        <w:t xml:space="preserve"> ..................................................... </w:t>
      </w:r>
      <w:r>
        <w:rPr>
          <w:b w:val="0"/>
        </w:rPr>
        <w:t>22</w:t>
      </w:r>
    </w:p>
    <w:p>
      <w:pPr>
        <w:spacing w:line="312" w:lineRule="auto" w:after="60"/>
      </w:pPr>
      <w:r>
        <w:rPr>
          <w:b w:val="0"/>
        </w:rPr>
        <w:t xml:space="preserve">    2.5 Problem Definition</w:t>
      </w:r>
      <w:r>
        <w:rPr>
          <w:color w:val="787878"/>
        </w:rPr>
        <w:t xml:space="preserve"> ................................................. </w:t>
      </w:r>
      <w:r>
        <w:rPr>
          <w:b w:val="0"/>
        </w:rPr>
        <w:t>23</w:t>
      </w:r>
    </w:p>
    <w:p>
      <w:pPr>
        <w:spacing w:line="312" w:lineRule="auto" w:after="60"/>
      </w:pPr>
      <w:r>
        <w:rPr>
          <w:b w:val="0"/>
        </w:rPr>
        <w:t xml:space="preserve">    2.6 Goals / Objectives</w:t>
      </w:r>
      <w:r>
        <w:rPr>
          <w:color w:val="787878"/>
        </w:rPr>
        <w:t xml:space="preserve"> ................................................. </w:t>
      </w:r>
      <w:r>
        <w:rPr>
          <w:b w:val="0"/>
        </w:rPr>
        <w:t>24</w:t>
      </w:r>
    </w:p>
    <w:p>
      <w:pPr>
        <w:spacing w:line="312" w:lineRule="auto" w:after="60"/>
      </w:pPr>
      <w:r>
        <w:rPr>
          <w:b/>
        </w:rPr>
        <w:t>CHAPTER 3. DESIGN FLOW / PROCESS</w:t>
      </w:r>
      <w:r>
        <w:rPr>
          <w:color w:val="787878"/>
        </w:rPr>
        <w:t xml:space="preserve"> ........................................... </w:t>
      </w:r>
      <w:r>
        <w:rPr>
          <w:b/>
        </w:rPr>
        <w:t>25</w:t>
      </w:r>
    </w:p>
    <w:p>
      <w:pPr>
        <w:spacing w:line="312" w:lineRule="auto" w:after="60"/>
      </w:pPr>
      <w:r>
        <w:rPr>
          <w:b w:val="0"/>
        </w:rPr>
        <w:t xml:space="preserve">    3.1 Evaluation &amp; Selection of Specifications / Features</w:t>
      </w:r>
      <w:r>
        <w:rPr>
          <w:color w:val="787878"/>
        </w:rPr>
        <w:t xml:space="preserve"> ................ </w:t>
      </w:r>
      <w:r>
        <w:rPr>
          <w:b w:val="0"/>
        </w:rPr>
        <w:t>25</w:t>
      </w:r>
    </w:p>
    <w:p>
      <w:pPr>
        <w:spacing w:line="312" w:lineRule="auto" w:after="60"/>
      </w:pPr>
      <w:r>
        <w:rPr>
          <w:b w:val="0"/>
        </w:rPr>
        <w:t xml:space="preserve">    3.2 Design Constraints</w:t>
      </w:r>
      <w:r>
        <w:rPr>
          <w:color w:val="787878"/>
        </w:rPr>
        <w:t xml:space="preserve"> ................................................. </w:t>
      </w:r>
      <w:r>
        <w:rPr>
          <w:b w:val="0"/>
        </w:rPr>
        <w:t>26</w:t>
      </w:r>
    </w:p>
    <w:p>
      <w:pPr>
        <w:spacing w:line="312" w:lineRule="auto" w:after="60"/>
      </w:pPr>
      <w:r>
        <w:rPr>
          <w:b w:val="0"/>
        </w:rPr>
        <w:t xml:space="preserve">    3.3 Analysis of Features and Finalization Subject to Constraints</w:t>
      </w:r>
      <w:r>
        <w:rPr>
          <w:color w:val="787878"/>
        </w:rPr>
        <w:t xml:space="preserve"> ....... </w:t>
      </w:r>
      <w:r>
        <w:rPr>
          <w:b w:val="0"/>
        </w:rPr>
        <w:t>27</w:t>
      </w:r>
    </w:p>
    <w:p>
      <w:pPr>
        <w:spacing w:line="312" w:lineRule="auto" w:after="60"/>
      </w:pPr>
      <w:r>
        <w:rPr>
          <w:b w:val="0"/>
        </w:rPr>
        <w:t xml:space="preserve">    3.4 Design Flow (Architectural Alternatives)</w:t>
      </w:r>
      <w:r>
        <w:rPr>
          <w:color w:val="787878"/>
        </w:rPr>
        <w:t xml:space="preserve"> ........................... </w:t>
      </w:r>
      <w:r>
        <w:rPr>
          <w:b w:val="0"/>
        </w:rPr>
        <w:t>28</w:t>
      </w:r>
    </w:p>
    <w:p>
      <w:pPr>
        <w:spacing w:line="312" w:lineRule="auto" w:after="60"/>
      </w:pPr>
      <w:r>
        <w:rPr>
          <w:b w:val="0"/>
        </w:rPr>
        <w:t xml:space="preserve">    3.5 Design Selection</w:t>
      </w:r>
      <w:r>
        <w:rPr>
          <w:color w:val="787878"/>
        </w:rPr>
        <w:t xml:space="preserve"> ................................................... </w:t>
      </w:r>
      <w:r>
        <w:rPr>
          <w:b w:val="0"/>
        </w:rPr>
        <w:t>29</w:t>
      </w:r>
    </w:p>
    <w:p>
      <w:pPr>
        <w:spacing w:line="312" w:lineRule="auto" w:after="60"/>
      </w:pPr>
      <w:r>
        <w:rPr>
          <w:b w:val="0"/>
        </w:rPr>
        <w:t xml:space="preserve">    3.6 Implementation Plan / Methodology</w:t>
      </w:r>
      <w:r>
        <w:rPr>
          <w:color w:val="787878"/>
        </w:rPr>
        <w:t xml:space="preserve"> .................................. </w:t>
      </w:r>
      <w:r>
        <w:rPr>
          <w:b w:val="0"/>
        </w:rPr>
        <w:t>30</w:t>
      </w:r>
    </w:p>
    <w:p>
      <w:pPr>
        <w:spacing w:line="312" w:lineRule="auto" w:after="60"/>
      </w:pPr>
      <w:r>
        <w:rPr>
          <w:b/>
        </w:rPr>
        <w:t>CHAPTER 4. RESULTS ANALYSIS AND VALIDATION</w:t>
      </w:r>
      <w:r>
        <w:rPr>
          <w:color w:val="787878"/>
        </w:rPr>
        <w:t xml:space="preserve"> ................................. </w:t>
      </w:r>
      <w:r>
        <w:rPr>
          <w:b/>
        </w:rPr>
        <w:t>32</w:t>
      </w:r>
    </w:p>
    <w:p>
      <w:pPr>
        <w:spacing w:line="312" w:lineRule="auto" w:after="60"/>
      </w:pPr>
      <w:r>
        <w:rPr>
          <w:b w:val="0"/>
        </w:rPr>
        <w:t xml:space="preserve">    4.1 Implementation of Solution Using Modern Engineering Tools</w:t>
      </w:r>
      <w:r>
        <w:rPr>
          <w:color w:val="787878"/>
        </w:rPr>
        <w:t xml:space="preserve"> .......... </w:t>
      </w:r>
      <w:r>
        <w:rPr>
          <w:b w:val="0"/>
        </w:rPr>
        <w:t>32</w:t>
      </w:r>
    </w:p>
    <w:p>
      <w:pPr>
        <w:spacing w:line="312" w:lineRule="auto" w:after="60"/>
      </w:pPr>
      <w:r>
        <w:rPr>
          <w:b w:val="0"/>
        </w:rPr>
        <w:t xml:space="preserve">    4.2 Comparative Model Performance &amp; In-Depth Metric Analysis</w:t>
      </w:r>
      <w:r>
        <w:rPr>
          <w:color w:val="787878"/>
        </w:rPr>
        <w:t xml:space="preserve"> ........... </w:t>
      </w:r>
      <w:r>
        <w:rPr>
          <w:b w:val="0"/>
        </w:rPr>
        <w:t>34</w:t>
      </w:r>
    </w:p>
    <w:p>
      <w:pPr>
        <w:spacing w:line="312" w:lineRule="auto" w:after="60"/>
      </w:pPr>
      <w:r>
        <w:rPr>
          <w:b w:val="0"/>
        </w:rPr>
        <w:t xml:space="preserve">    4.3 Feature Importance Interpretation &amp; Gini Index Derivation</w:t>
      </w:r>
      <w:r>
        <w:rPr>
          <w:color w:val="787878"/>
        </w:rPr>
        <w:t xml:space="preserve"> .......... </w:t>
      </w:r>
      <w:r>
        <w:rPr>
          <w:b w:val="0"/>
        </w:rPr>
        <w:t>36</w:t>
      </w:r>
    </w:p>
    <w:p>
      <w:pPr>
        <w:spacing w:line="312" w:lineRule="auto" w:after="60"/>
      </w:pPr>
      <w:r>
        <w:rPr>
          <w:b w:val="0"/>
        </w:rPr>
        <w:t xml:space="preserve">    4.4 Automated Test Suite Execution &amp; Invariant Verification</w:t>
      </w:r>
      <w:r>
        <w:rPr>
          <w:color w:val="787878"/>
        </w:rPr>
        <w:t xml:space="preserve"> ............ </w:t>
      </w:r>
      <w:r>
        <w:rPr>
          <w:b w:val="0"/>
        </w:rPr>
        <w:t>37</w:t>
      </w:r>
    </w:p>
    <w:p>
      <w:pPr>
        <w:spacing w:line="312" w:lineRule="auto" w:after="60"/>
      </w:pPr>
      <w:r>
        <w:rPr>
          <w:b w:val="0"/>
        </w:rPr>
        <w:t xml:space="preserve">    4.5 Latency, Telemetry &amp; Real-Time Production Stress Profiling</w:t>
      </w:r>
      <w:r>
        <w:rPr>
          <w:color w:val="787878"/>
        </w:rPr>
        <w:t xml:space="preserve"> ......... </w:t>
      </w:r>
      <w:r>
        <w:rPr>
          <w:b w:val="0"/>
        </w:rPr>
        <w:t>38</w:t>
      </w:r>
    </w:p>
    <w:p>
      <w:pPr>
        <w:spacing w:line="312" w:lineRule="auto" w:after="60"/>
      </w:pPr>
      <w:r>
        <w:rPr>
          <w:b/>
        </w:rPr>
        <w:t>CHAPTER 5. CONCLUSION AND FUTURE WORK</w:t>
      </w:r>
      <w:r>
        <w:rPr>
          <w:color w:val="787878"/>
        </w:rPr>
        <w:t xml:space="preserve"> ...................................... </w:t>
      </w:r>
      <w:r>
        <w:rPr>
          <w:b/>
        </w:rPr>
        <w:t>40</w:t>
      </w:r>
    </w:p>
    <w:p>
      <w:pPr>
        <w:spacing w:line="312" w:lineRule="auto" w:after="60"/>
      </w:pPr>
      <w:r>
        <w:rPr>
          <w:b w:val="0"/>
        </w:rPr>
        <w:t xml:space="preserve">    5.1 Conclusion</w:t>
      </w:r>
      <w:r>
        <w:rPr>
          <w:color w:val="787878"/>
        </w:rPr>
        <w:t xml:space="preserve"> ......................................................... </w:t>
      </w:r>
      <w:r>
        <w:rPr>
          <w:b w:val="0"/>
        </w:rPr>
        <w:t>40</w:t>
      </w:r>
    </w:p>
    <w:p>
      <w:pPr>
        <w:spacing w:line="312" w:lineRule="auto" w:after="60"/>
      </w:pPr>
      <w:r>
        <w:rPr>
          <w:b w:val="0"/>
        </w:rPr>
        <w:t xml:space="preserve">    5.2 Future Work</w:t>
      </w:r>
      <w:r>
        <w:rPr>
          <w:color w:val="787878"/>
        </w:rPr>
        <w:t xml:space="preserve"> ........................................................ </w:t>
      </w:r>
      <w:r>
        <w:rPr>
          <w:b w:val="0"/>
        </w:rPr>
        <w:t>41</w:t>
      </w:r>
    </w:p>
    <w:p>
      <w:pPr>
        <w:spacing w:line="312" w:lineRule="auto" w:after="60"/>
      </w:pPr>
      <w:r>
        <w:rPr>
          <w:b/>
        </w:rPr>
        <w:t>REFERENCES</w:t>
      </w:r>
      <w:r>
        <w:rPr>
          <w:color w:val="787878"/>
        </w:rPr>
        <w:t xml:space="preserve"> ................................................................. </w:t>
      </w:r>
      <w:r>
        <w:rPr>
          <w:b/>
        </w:rPr>
        <w:t>42</w:t>
      </w:r>
    </w:p>
    <w:p>
      <w:pPr>
        <w:spacing w:line="312" w:lineRule="auto" w:after="60"/>
      </w:pPr>
      <w:r>
        <w:rPr>
          <w:b/>
        </w:rPr>
        <w:t>APPENDIX</w:t>
      </w:r>
      <w:r>
        <w:rPr>
          <w:color w:val="787878"/>
        </w:rPr>
        <w:t xml:space="preserve"> ................................................................... </w:t>
      </w:r>
      <w:r>
        <w:rPr>
          <w:b/>
        </w:rPr>
        <w:t>44</w:t>
      </w:r>
    </w:p>
    <w:p>
      <w:pPr>
        <w:spacing w:line="312" w:lineRule="auto" w:after="60"/>
      </w:pPr>
      <w:r>
        <w:rPr>
          <w:b w:val="0"/>
        </w:rPr>
        <w:t xml:space="preserve">    Appendix A: Plagiarism Report</w:t>
      </w:r>
      <w:r>
        <w:rPr>
          <w:color w:val="787878"/>
        </w:rPr>
        <w:t xml:space="preserve"> .......................................... </w:t>
      </w:r>
      <w:r>
        <w:rPr>
          <w:b w:val="0"/>
        </w:rPr>
        <w:t>44</w:t>
      </w:r>
    </w:p>
    <w:p>
      <w:pPr>
        <w:spacing w:line="312" w:lineRule="auto" w:after="60"/>
      </w:pPr>
      <w:r>
        <w:rPr>
          <w:b w:val="0"/>
        </w:rPr>
        <w:t xml:space="preserve">    Appendix B: Design Checklist</w:t>
      </w:r>
      <w:r>
        <w:rPr>
          <w:color w:val="787878"/>
        </w:rPr>
        <w:t xml:space="preserve"> ........................................... </w:t>
      </w:r>
      <w:r>
        <w:rPr>
          <w:b w:val="0"/>
        </w:rPr>
        <w:t>45</w:t>
      </w:r>
    </w:p>
    <w:p>
      <w:pPr>
        <w:spacing w:line="312" w:lineRule="auto" w:after="60"/>
      </w:pPr>
      <w:r>
        <w:rPr>
          <w:b w:val="0"/>
        </w:rPr>
        <w:t xml:space="preserve">    Appendix C: USER MANUAL</w:t>
      </w:r>
      <w:r>
        <w:rPr>
          <w:color w:val="787878"/>
        </w:rPr>
        <w:t xml:space="preserve"> ................................................ </w:t>
      </w:r>
      <w:r>
        <w:rPr>
          <w:b w:val="0"/>
        </w:rPr>
        <w:t>46</w:t>
      </w:r>
    </w:p>
    <w:p>
      <w:r>
        <w:br w:type="page"/>
      </w:r>
    </w:p>
    <w:p>
      <w:pPr>
        <w:spacing w:after="280"/>
        <w:jc w:val="center"/>
      </w:pPr>
      <w:r>
        <w:rPr>
          <w:rFonts w:ascii="Times New Roman" w:hAnsi="Times New Roman"/>
          <w:b/>
          <w:sz w:val="32"/>
        </w:rPr>
        <w:t>LIST OF FIGURES</w:t>
      </w:r>
    </w:p>
    <w:p>
      <w:pPr>
        <w:spacing w:line="312" w:lineRule="auto" w:after="80"/>
      </w:pPr>
      <w:r>
        <w:rPr>
          <w:b w:val="0"/>
        </w:rPr>
        <w:t>Figure 1.1  Annual Compensation Review Bottlenecks &amp; Attrition Trajectory</w:t>
      </w:r>
      <w:r>
        <w:rPr>
          <w:color w:val="787878"/>
        </w:rPr>
        <w:t xml:space="preserve"> ..... </w:t>
      </w:r>
      <w:r>
        <w:rPr>
          <w:b/>
        </w:rPr>
        <w:t>15</w:t>
      </w:r>
    </w:p>
    <w:p>
      <w:pPr>
        <w:spacing w:line="312" w:lineRule="auto" w:after="80"/>
      </w:pPr>
      <w:r>
        <w:rPr>
          <w:b w:val="0"/>
        </w:rPr>
        <w:t>Figure 1.2  Project Engineering Timeline &amp; Sprint Gantt Schedule</w:t>
      </w:r>
      <w:r>
        <w:rPr>
          <w:color w:val="787878"/>
        </w:rPr>
        <w:t xml:space="preserve"> ........... </w:t>
      </w:r>
      <w:r>
        <w:rPr>
          <w:b/>
        </w:rPr>
        <w:t>17</w:t>
      </w:r>
    </w:p>
    <w:p>
      <w:pPr>
        <w:spacing w:line="312" w:lineRule="auto" w:after="80"/>
      </w:pPr>
      <w:r>
        <w:rPr>
          <w:b w:val="0"/>
        </w:rPr>
        <w:t>Figure 2.1  Historical Evolution of Workforce Compensation Frameworks (1965 – 2026)</w:t>
      </w:r>
      <w:r>
        <w:rPr>
          <w:color w:val="787878"/>
        </w:rPr>
        <w:t xml:space="preserve"> ..... </w:t>
      </w:r>
      <w:r>
        <w:rPr>
          <w:b/>
        </w:rPr>
        <w:t>19</w:t>
      </w:r>
    </w:p>
    <w:p>
      <w:pPr>
        <w:spacing w:line="312" w:lineRule="auto" w:after="80"/>
      </w:pPr>
      <w:r>
        <w:rPr>
          <w:b w:val="0"/>
        </w:rPr>
        <w:t>Figure 3.1  Alternative Architecture 1 — Monolithic Synchronous Flask Model</w:t>
      </w:r>
      <w:r>
        <w:rPr>
          <w:color w:val="787878"/>
        </w:rPr>
        <w:t xml:space="preserve"> ..... </w:t>
      </w:r>
      <w:r>
        <w:rPr>
          <w:b/>
        </w:rPr>
        <w:t>28</w:t>
      </w:r>
    </w:p>
    <w:p>
      <w:pPr>
        <w:spacing w:line="312" w:lineRule="auto" w:after="80"/>
      </w:pPr>
      <w:r>
        <w:rPr>
          <w:b w:val="0"/>
        </w:rPr>
        <w:t>Figure 3.2  Alternative Architecture 2 — Selected Decoupled Microservice Engine with Dual Benchmarking</w:t>
      </w:r>
      <w:r>
        <w:rPr>
          <w:color w:val="787878"/>
        </w:rPr>
        <w:t xml:space="preserve"> ..... </w:t>
      </w:r>
      <w:r>
        <w:rPr>
          <w:b/>
        </w:rPr>
        <w:t>29</w:t>
      </w:r>
    </w:p>
    <w:p>
      <w:pPr>
        <w:spacing w:line="312" w:lineRule="auto" w:after="80"/>
      </w:pPr>
      <w:r>
        <w:rPr>
          <w:b w:val="0"/>
        </w:rPr>
        <w:t>Figure 3.3  End-to-End Mathematical Preprocessing &amp; Training Pipeline Topology</w:t>
      </w:r>
      <w:r>
        <w:rPr>
          <w:color w:val="787878"/>
        </w:rPr>
        <w:t xml:space="preserve"> ..... </w:t>
      </w:r>
      <w:r>
        <w:rPr>
          <w:b/>
        </w:rPr>
        <w:t>30</w:t>
      </w:r>
    </w:p>
    <w:p>
      <w:pPr>
        <w:spacing w:line="312" w:lineRule="auto" w:after="80"/>
      </w:pPr>
      <w:r>
        <w:rPr>
          <w:b w:val="0"/>
        </w:rPr>
        <w:t>Figure 4.1  Model Performance Comparison: Gradient Boosting vs. Linear Regression (RMSE &amp; MAE)</w:t>
      </w:r>
      <w:r>
        <w:rPr>
          <w:color w:val="787878"/>
        </w:rPr>
        <w:t xml:space="preserve"> ..... </w:t>
      </w:r>
      <w:r>
        <w:rPr>
          <w:b/>
        </w:rPr>
        <w:t>35</w:t>
      </w:r>
    </w:p>
    <w:p>
      <w:pPr>
        <w:spacing w:line="312" w:lineRule="auto" w:after="80"/>
      </w:pPr>
      <w:r>
        <w:rPr>
          <w:b w:val="0"/>
        </w:rPr>
        <w:t>Figure 4.2  Gini Impurity Feature Importance Distribution across Technical Attributes</w:t>
      </w:r>
      <w:r>
        <w:rPr>
          <w:color w:val="787878"/>
        </w:rPr>
        <w:t xml:space="preserve"> ..... </w:t>
      </w:r>
      <w:r>
        <w:rPr>
          <w:b/>
        </w:rPr>
        <w:t>36</w:t>
      </w:r>
    </w:p>
    <w:p>
      <w:pPr>
        <w:spacing w:line="312" w:lineRule="auto" w:after="80"/>
      </w:pPr>
      <w:r>
        <w:rPr>
          <w:b w:val="0"/>
        </w:rPr>
        <w:t>Figure 4.3  Inference Latency Profile &amp; Telemetry Distribution under Concurrent Execution</w:t>
      </w:r>
      <w:r>
        <w:rPr>
          <w:color w:val="787878"/>
        </w:rPr>
        <w:t xml:space="preserve"> ..... </w:t>
      </w:r>
      <w:r>
        <w:rPr>
          <w:b/>
        </w:rPr>
        <w:t>39</w:t>
      </w:r>
    </w:p>
    <w:p>
      <w:pPr>
        <w:spacing w:after="360"/>
      </w:pPr>
    </w:p>
    <w:p>
      <w:pPr>
        <w:spacing w:after="280"/>
        <w:jc w:val="center"/>
      </w:pPr>
      <w:r>
        <w:rPr>
          <w:rFonts w:ascii="Times New Roman" w:hAnsi="Times New Roman"/>
          <w:b/>
          <w:sz w:val="32"/>
        </w:rPr>
        <w:t>LIST OF TABLES</w:t>
      </w:r>
    </w:p>
    <w:p>
      <w:pPr>
        <w:spacing w:line="312" w:lineRule="auto" w:after="80"/>
      </w:pPr>
      <w:r>
        <w:rPr>
          <w:b w:val="0"/>
        </w:rPr>
        <w:t>Table 2.1  Bibliometric Analysis of Existing Compensation &amp; Salary Forecasting Methodologies</w:t>
      </w:r>
      <w:r>
        <w:rPr>
          <w:color w:val="787878"/>
        </w:rPr>
        <w:t xml:space="preserve"> ..... </w:t>
      </w:r>
      <w:r>
        <w:rPr>
          <w:b/>
        </w:rPr>
        <w:t>21</w:t>
      </w:r>
    </w:p>
    <w:p>
      <w:pPr>
        <w:spacing w:line="312" w:lineRule="auto" w:after="80"/>
      </w:pPr>
      <w:r>
        <w:rPr>
          <w:b w:val="0"/>
        </w:rPr>
        <w:t>Table 3.1  Comprehensive Multi-Dimensional Design Constraints &amp; Regulatory Specifications Matrix</w:t>
      </w:r>
      <w:r>
        <w:rPr>
          <w:color w:val="787878"/>
        </w:rPr>
        <w:t xml:space="preserve"> ..... </w:t>
      </w:r>
      <w:r>
        <w:rPr>
          <w:b/>
        </w:rPr>
        <w:t>26</w:t>
      </w:r>
    </w:p>
    <w:p>
      <w:pPr>
        <w:spacing w:line="312" w:lineRule="auto" w:after="80"/>
      </w:pPr>
      <w:r>
        <w:rPr>
          <w:b w:val="0"/>
        </w:rPr>
        <w:t>Table 3.2  Multi-Criteria Architecture Evaluation &amp; Trade-Off Selection Matrix</w:t>
      </w:r>
      <w:r>
        <w:rPr>
          <w:color w:val="787878"/>
        </w:rPr>
        <w:t xml:space="preserve"> ..... </w:t>
      </w:r>
      <w:r>
        <w:rPr>
          <w:b/>
        </w:rPr>
        <w:t>29</w:t>
      </w:r>
    </w:p>
    <w:p>
      <w:pPr>
        <w:spacing w:line="312" w:lineRule="auto" w:after="80"/>
      </w:pPr>
      <w:r>
        <w:rPr>
          <w:b w:val="0"/>
        </w:rPr>
        <w:t>Table 4.1  Empirical Model Evaluation Metrics on Held-Out Test Partition (n=4,554)</w:t>
      </w:r>
      <w:r>
        <w:rPr>
          <w:color w:val="787878"/>
        </w:rPr>
        <w:t xml:space="preserve"> ..... </w:t>
      </w:r>
      <w:r>
        <w:rPr>
          <w:b/>
        </w:rPr>
        <w:t>34</w:t>
      </w:r>
    </w:p>
    <w:p>
      <w:pPr>
        <w:spacing w:line="312" w:lineRule="auto" w:after="80"/>
      </w:pPr>
      <w:r>
        <w:rPr>
          <w:b w:val="0"/>
        </w:rPr>
        <w:t>Table 4.2  Verified Feature Importance Contribution Breakdown (MDI Gini Impurity)</w:t>
      </w:r>
      <w:r>
        <w:rPr>
          <w:color w:val="787878"/>
        </w:rPr>
        <w:t xml:space="preserve"> ..... </w:t>
      </w:r>
      <w:r>
        <w:rPr>
          <w:b/>
        </w:rPr>
        <w:t>36</w:t>
      </w:r>
    </w:p>
    <w:p>
      <w:pPr>
        <w:spacing w:line="312" w:lineRule="auto" w:after="80"/>
      </w:pPr>
      <w:r>
        <w:rPr>
          <w:b w:val="0"/>
        </w:rPr>
        <w:t>Table 4.3  Automated Validation Test Suite Verification Results across 10 Critical Test Assertions</w:t>
      </w:r>
      <w:r>
        <w:rPr>
          <w:color w:val="787878"/>
        </w:rPr>
        <w:t xml:space="preserve"> ..... </w:t>
      </w:r>
      <w:r>
        <w:rPr>
          <w:b/>
        </w:rPr>
        <w:t>37</w:t>
      </w:r>
    </w:p>
    <w:p>
      <w:pPr>
        <w:spacing w:line="312" w:lineRule="auto" w:after="80"/>
      </w:pPr>
      <w:r>
        <w:rPr>
          <w:b w:val="0"/>
        </w:rPr>
        <w:t>Table 4.4  Inference Latency Benchmark Metrics across 1,000 Consecutive Requests</w:t>
      </w:r>
      <w:r>
        <w:rPr>
          <w:color w:val="787878"/>
        </w:rPr>
        <w:t xml:space="preserve"> ..... </w:t>
      </w:r>
      <w:r>
        <w:rPr>
          <w:b/>
        </w:rPr>
        <w:t>39</w:t>
      </w:r>
    </w:p>
    <w:p>
      <w:pPr>
        <w:spacing w:line="312" w:lineRule="auto" w:after="80"/>
      </w:pPr>
      <w:r>
        <w:rPr>
          <w:b w:val="0"/>
        </w:rPr>
        <w:t>Table B.1  Engineering Design Compliance &amp; Verification Checklist</w:t>
      </w:r>
      <w:r>
        <w:rPr>
          <w:color w:val="787878"/>
        </w:rPr>
        <w:t xml:space="preserve"> .......... </w:t>
      </w:r>
      <w:r>
        <w:rPr>
          <w:b/>
        </w:rPr>
        <w:t>45</w:t>
      </w:r>
    </w:p>
    <w:p>
      <w:r>
        <w:br w:type="page"/>
      </w:r>
    </w:p>
    <w:p>
      <w:pPr>
        <w:spacing w:after="320"/>
        <w:jc w:val="center"/>
      </w:pPr>
      <w:r>
        <w:rPr>
          <w:rFonts w:ascii="Times New Roman" w:hAnsi="Times New Roman"/>
          <w:b/>
          <w:sz w:val="32"/>
        </w:rPr>
        <w:t>LIST OF STANDARDS</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tblBorders>
      </w:tblPr>
      <w:tblGrid>
        <w:gridCol w:w="2250"/>
        <w:gridCol w:w="2250"/>
        <w:gridCol w:w="2250"/>
        <w:gridCol w:w="2250"/>
      </w:tblGrid>
      <w:tr>
        <w:tc>
          <w:tcPr>
            <w:tcW w:type="dxa" w:w="2592"/>
            <w:shd w:fill="E2E8F0"/>
            <w:tcMar>
              <w:top w:w="120" w:type="dxa"/>
              <w:bottom w:w="120" w:type="dxa"/>
              <w:left w:w="140" w:type="dxa"/>
              <w:right w:w="140" w:type="dxa"/>
            </w:tcMar>
          </w:tcPr>
          <w:p>
            <w:pPr>
              <w:jc w:val="center"/>
            </w:pPr>
            <w:r>
              <w:rPr>
                <w:b/>
                <w:sz w:val="20"/>
              </w:rPr>
              <w:t>Standard</w:t>
            </w:r>
          </w:p>
        </w:tc>
        <w:tc>
          <w:tcPr>
            <w:tcW w:type="dxa" w:w="1584"/>
            <w:shd w:fill="E2E8F0"/>
            <w:tcMar>
              <w:top w:w="120" w:type="dxa"/>
              <w:bottom w:w="120" w:type="dxa"/>
              <w:left w:w="140" w:type="dxa"/>
              <w:right w:w="140" w:type="dxa"/>
            </w:tcMar>
          </w:tcPr>
          <w:p>
            <w:pPr>
              <w:jc w:val="center"/>
            </w:pPr>
            <w:r>
              <w:rPr>
                <w:b/>
                <w:sz w:val="20"/>
              </w:rPr>
              <w:t>Publishing Agency</w:t>
            </w:r>
          </w:p>
        </w:tc>
        <w:tc>
          <w:tcPr>
            <w:tcW w:type="dxa" w:w="4608"/>
            <w:shd w:fill="E2E8F0"/>
            <w:tcMar>
              <w:top w:w="120" w:type="dxa"/>
              <w:bottom w:w="120" w:type="dxa"/>
              <w:left w:w="140" w:type="dxa"/>
              <w:right w:w="140" w:type="dxa"/>
            </w:tcMar>
          </w:tcPr>
          <w:p>
            <w:pPr>
              <w:jc w:val="center"/>
            </w:pPr>
            <w:r>
              <w:rPr>
                <w:b/>
                <w:sz w:val="20"/>
              </w:rPr>
              <w:t>About the Standard</w:t>
            </w:r>
          </w:p>
        </w:tc>
        <w:tc>
          <w:tcPr>
            <w:tcW w:type="dxa" w:w="1152"/>
            <w:shd w:fill="E2E8F0"/>
            <w:tcMar>
              <w:top w:w="120" w:type="dxa"/>
              <w:bottom w:w="120" w:type="dxa"/>
              <w:left w:w="140" w:type="dxa"/>
              <w:right w:w="140" w:type="dxa"/>
            </w:tcMar>
          </w:tcPr>
          <w:p>
            <w:pPr>
              <w:jc w:val="center"/>
            </w:pPr>
            <w:r>
              <w:rPr>
                <w:b/>
                <w:sz w:val="20"/>
              </w:rPr>
              <w:t>Page No</w:t>
            </w:r>
          </w:p>
        </w:tc>
      </w:tr>
      <w:tr>
        <w:tc>
          <w:tcPr>
            <w:tcW w:type="dxa" w:w="2592"/>
            <w:tcMar>
              <w:top w:w="100" w:type="dxa"/>
              <w:bottom w:w="100" w:type="dxa"/>
              <w:left w:w="120" w:type="dxa"/>
              <w:right w:w="120" w:type="dxa"/>
            </w:tcMar>
          </w:tcPr>
          <w:p>
            <w:pPr>
              <w:spacing w:line="276" w:lineRule="auto"/>
              <w:jc w:val="center"/>
            </w:pPr>
            <w:r>
              <w:rPr>
                <w:b/>
                <w:sz w:val="19"/>
              </w:rPr>
              <w:t>IEEE 802.11ax / 802.3</w:t>
            </w:r>
          </w:p>
        </w:tc>
        <w:tc>
          <w:tcPr>
            <w:tcW w:type="dxa" w:w="1584"/>
            <w:tcMar>
              <w:top w:w="100" w:type="dxa"/>
              <w:bottom w:w="100" w:type="dxa"/>
              <w:left w:w="120" w:type="dxa"/>
              <w:right w:w="120" w:type="dxa"/>
            </w:tcMar>
          </w:tcPr>
          <w:p>
            <w:pPr>
              <w:spacing w:line="276" w:lineRule="auto"/>
              <w:jc w:val="center"/>
            </w:pPr>
            <w:r>
              <w:rPr>
                <w:sz w:val="19"/>
              </w:rPr>
              <w:t>IEEE</w:t>
            </w:r>
          </w:p>
        </w:tc>
        <w:tc>
          <w:tcPr>
            <w:tcW w:type="dxa" w:w="4608"/>
            <w:tcMar>
              <w:top w:w="100" w:type="dxa"/>
              <w:bottom w:w="100" w:type="dxa"/>
              <w:left w:w="120" w:type="dxa"/>
              <w:right w:w="120" w:type="dxa"/>
            </w:tcMar>
          </w:tcPr>
          <w:p>
            <w:pPr>
              <w:spacing w:line="276" w:lineRule="auto"/>
              <w:jc w:val="both"/>
            </w:pPr>
            <w:r>
              <w:rPr>
                <w:sz w:val="19"/>
              </w:rPr>
              <w:t>Specifies local area network (LAN/WLAN) physical and MAC layer protocols governing high-efficiency microservice packet communication between client and backend.</w:t>
            </w:r>
          </w:p>
        </w:tc>
        <w:tc>
          <w:tcPr>
            <w:tcW w:type="dxa" w:w="1152"/>
            <w:tcMar>
              <w:top w:w="100" w:type="dxa"/>
              <w:bottom w:w="100" w:type="dxa"/>
              <w:left w:w="120" w:type="dxa"/>
              <w:right w:w="120" w:type="dxa"/>
            </w:tcMar>
          </w:tcPr>
          <w:p>
            <w:pPr>
              <w:spacing w:line="276" w:lineRule="auto"/>
              <w:jc w:val="center"/>
            </w:pPr>
            <w:r>
              <w:rPr>
                <w:sz w:val="19"/>
              </w:rPr>
              <w:t>26</w:t>
            </w:r>
          </w:p>
        </w:tc>
      </w:tr>
      <w:tr>
        <w:tc>
          <w:tcPr>
            <w:tcW w:type="dxa" w:w="2592"/>
            <w:tcMar>
              <w:top w:w="100" w:type="dxa"/>
              <w:bottom w:w="100" w:type="dxa"/>
              <w:left w:w="120" w:type="dxa"/>
              <w:right w:w="120" w:type="dxa"/>
            </w:tcMar>
            <w:shd w:fill="F8FAFC"/>
          </w:tcPr>
          <w:p>
            <w:pPr>
              <w:spacing w:line="276" w:lineRule="auto"/>
              <w:jc w:val="center"/>
            </w:pPr>
            <w:r>
              <w:rPr>
                <w:b/>
                <w:sz w:val="19"/>
              </w:rPr>
              <w:t>ISO/IEC 25010:2011</w:t>
            </w:r>
          </w:p>
        </w:tc>
        <w:tc>
          <w:tcPr>
            <w:tcW w:type="dxa" w:w="1584"/>
            <w:tcMar>
              <w:top w:w="100" w:type="dxa"/>
              <w:bottom w:w="100" w:type="dxa"/>
              <w:left w:w="120" w:type="dxa"/>
              <w:right w:w="120" w:type="dxa"/>
            </w:tcMar>
            <w:shd w:fill="F8FAFC"/>
          </w:tcPr>
          <w:p>
            <w:pPr>
              <w:spacing w:line="276" w:lineRule="auto"/>
              <w:jc w:val="center"/>
            </w:pPr>
            <w:r>
              <w:rPr>
                <w:sz w:val="19"/>
              </w:rPr>
              <w:t>ISO / IEC</w:t>
            </w:r>
          </w:p>
        </w:tc>
        <w:tc>
          <w:tcPr>
            <w:tcW w:type="dxa" w:w="4608"/>
            <w:tcMar>
              <w:top w:w="100" w:type="dxa"/>
              <w:bottom w:w="100" w:type="dxa"/>
              <w:left w:w="120" w:type="dxa"/>
              <w:right w:w="120" w:type="dxa"/>
            </w:tcMar>
            <w:shd w:fill="F8FAFC"/>
          </w:tcPr>
          <w:p>
            <w:pPr>
              <w:spacing w:line="276" w:lineRule="auto"/>
              <w:jc w:val="both"/>
            </w:pPr>
            <w:r>
              <w:rPr>
                <w:sz w:val="19"/>
              </w:rPr>
              <w:t>Systems and software engineering — Systems and software Quality Requirements and Evaluation (SQuaRE) governing maintainability, reliability, and functional suitability.</w:t>
            </w:r>
          </w:p>
        </w:tc>
        <w:tc>
          <w:tcPr>
            <w:tcW w:type="dxa" w:w="1152"/>
            <w:tcMar>
              <w:top w:w="100" w:type="dxa"/>
              <w:bottom w:w="100" w:type="dxa"/>
              <w:left w:w="120" w:type="dxa"/>
              <w:right w:w="120" w:type="dxa"/>
            </w:tcMar>
            <w:shd w:fill="F8FAFC"/>
          </w:tcPr>
          <w:p>
            <w:pPr>
              <w:spacing w:line="276" w:lineRule="auto"/>
              <w:jc w:val="center"/>
            </w:pPr>
            <w:r>
              <w:rPr>
                <w:sz w:val="19"/>
              </w:rPr>
              <w:t>26</w:t>
            </w:r>
          </w:p>
        </w:tc>
      </w:tr>
      <w:tr>
        <w:tc>
          <w:tcPr>
            <w:tcW w:type="dxa" w:w="2592"/>
            <w:tcMar>
              <w:top w:w="100" w:type="dxa"/>
              <w:bottom w:w="100" w:type="dxa"/>
              <w:left w:w="120" w:type="dxa"/>
              <w:right w:w="120" w:type="dxa"/>
            </w:tcMar>
          </w:tcPr>
          <w:p>
            <w:pPr>
              <w:spacing w:line="276" w:lineRule="auto"/>
              <w:jc w:val="center"/>
            </w:pPr>
            <w:r>
              <w:rPr>
                <w:b/>
                <w:sz w:val="19"/>
              </w:rPr>
              <w:t>ISO/IEC 27001:2022</w:t>
            </w:r>
          </w:p>
        </w:tc>
        <w:tc>
          <w:tcPr>
            <w:tcW w:type="dxa" w:w="1584"/>
            <w:tcMar>
              <w:top w:w="100" w:type="dxa"/>
              <w:bottom w:w="100" w:type="dxa"/>
              <w:left w:w="120" w:type="dxa"/>
              <w:right w:w="120" w:type="dxa"/>
            </w:tcMar>
          </w:tcPr>
          <w:p>
            <w:pPr>
              <w:spacing w:line="276" w:lineRule="auto"/>
              <w:jc w:val="center"/>
            </w:pPr>
            <w:r>
              <w:rPr>
                <w:sz w:val="19"/>
              </w:rPr>
              <w:t>ISO / IEC</w:t>
            </w:r>
          </w:p>
        </w:tc>
        <w:tc>
          <w:tcPr>
            <w:tcW w:type="dxa" w:w="4608"/>
            <w:tcMar>
              <w:top w:w="100" w:type="dxa"/>
              <w:bottom w:w="100" w:type="dxa"/>
              <w:left w:w="120" w:type="dxa"/>
              <w:right w:w="120" w:type="dxa"/>
            </w:tcMar>
          </w:tcPr>
          <w:p>
            <w:pPr>
              <w:spacing w:line="276" w:lineRule="auto"/>
              <w:jc w:val="both"/>
            </w:pPr>
            <w:r>
              <w:rPr>
                <w:sz w:val="19"/>
              </w:rPr>
              <w:t>Information security management systems standard governing employee salary data confidentiality, access control boundaries, and audit logging.</w:t>
            </w:r>
          </w:p>
        </w:tc>
        <w:tc>
          <w:tcPr>
            <w:tcW w:type="dxa" w:w="1152"/>
            <w:tcMar>
              <w:top w:w="100" w:type="dxa"/>
              <w:bottom w:w="100" w:type="dxa"/>
              <w:left w:w="120" w:type="dxa"/>
              <w:right w:w="120" w:type="dxa"/>
            </w:tcMar>
          </w:tcPr>
          <w:p>
            <w:pPr>
              <w:spacing w:line="276" w:lineRule="auto"/>
              <w:jc w:val="center"/>
            </w:pPr>
            <w:r>
              <w:rPr>
                <w:sz w:val="19"/>
              </w:rPr>
              <w:t>27</w:t>
            </w:r>
          </w:p>
        </w:tc>
      </w:tr>
      <w:tr>
        <w:tc>
          <w:tcPr>
            <w:tcW w:type="dxa" w:w="2592"/>
            <w:tcMar>
              <w:top w:w="100" w:type="dxa"/>
              <w:bottom w:w="100" w:type="dxa"/>
              <w:left w:w="120" w:type="dxa"/>
              <w:right w:w="120" w:type="dxa"/>
            </w:tcMar>
            <w:shd w:fill="F8FAFC"/>
          </w:tcPr>
          <w:p>
            <w:pPr>
              <w:spacing w:line="276" w:lineRule="auto"/>
              <w:jc w:val="center"/>
            </w:pPr>
            <w:r>
              <w:rPr>
                <w:b/>
                <w:sz w:val="19"/>
              </w:rPr>
              <w:t>IEEE 730-2014</w:t>
            </w:r>
          </w:p>
        </w:tc>
        <w:tc>
          <w:tcPr>
            <w:tcW w:type="dxa" w:w="1584"/>
            <w:tcMar>
              <w:top w:w="100" w:type="dxa"/>
              <w:bottom w:w="100" w:type="dxa"/>
              <w:left w:w="120" w:type="dxa"/>
              <w:right w:w="120" w:type="dxa"/>
            </w:tcMar>
            <w:shd w:fill="F8FAFC"/>
          </w:tcPr>
          <w:p>
            <w:pPr>
              <w:spacing w:line="276" w:lineRule="auto"/>
              <w:jc w:val="center"/>
            </w:pPr>
            <w:r>
              <w:rPr>
                <w:sz w:val="19"/>
              </w:rPr>
              <w:t>IEEE</w:t>
            </w:r>
          </w:p>
        </w:tc>
        <w:tc>
          <w:tcPr>
            <w:tcW w:type="dxa" w:w="4608"/>
            <w:tcMar>
              <w:top w:w="100" w:type="dxa"/>
              <w:bottom w:w="100" w:type="dxa"/>
              <w:left w:w="120" w:type="dxa"/>
              <w:right w:w="120" w:type="dxa"/>
            </w:tcMar>
            <w:shd w:fill="F8FAFC"/>
          </w:tcPr>
          <w:p>
            <w:pPr>
              <w:spacing w:line="276" w:lineRule="auto"/>
              <w:jc w:val="both"/>
            </w:pPr>
            <w:r>
              <w:rPr>
                <w:sz w:val="19"/>
              </w:rPr>
              <w:t>IEEE Standard for Software Quality Assurance Processes applied during the execution and verification of the 10-phase automated test harness.</w:t>
            </w:r>
          </w:p>
        </w:tc>
        <w:tc>
          <w:tcPr>
            <w:tcW w:type="dxa" w:w="1152"/>
            <w:tcMar>
              <w:top w:w="100" w:type="dxa"/>
              <w:bottom w:w="100" w:type="dxa"/>
              <w:left w:w="120" w:type="dxa"/>
              <w:right w:w="120" w:type="dxa"/>
            </w:tcMar>
            <w:shd w:fill="F8FAFC"/>
          </w:tcPr>
          <w:p>
            <w:pPr>
              <w:spacing w:line="276" w:lineRule="auto"/>
              <w:jc w:val="center"/>
            </w:pPr>
            <w:r>
              <w:rPr>
                <w:sz w:val="19"/>
              </w:rPr>
              <w:t>37</w:t>
            </w:r>
          </w:p>
        </w:tc>
      </w:tr>
      <w:tr>
        <w:tc>
          <w:tcPr>
            <w:tcW w:type="dxa" w:w="2592"/>
            <w:tcMar>
              <w:top w:w="100" w:type="dxa"/>
              <w:bottom w:w="100" w:type="dxa"/>
              <w:left w:w="120" w:type="dxa"/>
              <w:right w:w="120" w:type="dxa"/>
            </w:tcMar>
          </w:tcPr>
          <w:p>
            <w:pPr>
              <w:spacing w:line="276" w:lineRule="auto"/>
              <w:jc w:val="center"/>
            </w:pPr>
            <w:r>
              <w:rPr>
                <w:b/>
                <w:sz w:val="19"/>
              </w:rPr>
              <w:t>W3C WCAG 2.1 (AA)</w:t>
            </w:r>
          </w:p>
        </w:tc>
        <w:tc>
          <w:tcPr>
            <w:tcW w:type="dxa" w:w="1584"/>
            <w:tcMar>
              <w:top w:w="100" w:type="dxa"/>
              <w:bottom w:w="100" w:type="dxa"/>
              <w:left w:w="120" w:type="dxa"/>
              <w:right w:w="120" w:type="dxa"/>
            </w:tcMar>
          </w:tcPr>
          <w:p>
            <w:pPr>
              <w:spacing w:line="276" w:lineRule="auto"/>
              <w:jc w:val="center"/>
            </w:pPr>
            <w:r>
              <w:rPr>
                <w:sz w:val="19"/>
              </w:rPr>
              <w:t>W3C</w:t>
            </w:r>
          </w:p>
        </w:tc>
        <w:tc>
          <w:tcPr>
            <w:tcW w:type="dxa" w:w="4608"/>
            <w:tcMar>
              <w:top w:w="100" w:type="dxa"/>
              <w:bottom w:w="100" w:type="dxa"/>
              <w:left w:w="120" w:type="dxa"/>
              <w:right w:w="120" w:type="dxa"/>
            </w:tcMar>
          </w:tcPr>
          <w:p>
            <w:pPr>
              <w:spacing w:line="276" w:lineRule="auto"/>
              <w:jc w:val="both"/>
            </w:pPr>
            <w:r>
              <w:rPr>
                <w:sz w:val="19"/>
              </w:rPr>
              <w:t>Web Content Accessibility Guidelines applied to ensure accessible color contrast ratios (&gt;4.5:1), keyboard focus navigation, and aria attributes in the React UI.</w:t>
            </w:r>
          </w:p>
        </w:tc>
        <w:tc>
          <w:tcPr>
            <w:tcW w:type="dxa" w:w="1152"/>
            <w:tcMar>
              <w:top w:w="100" w:type="dxa"/>
              <w:bottom w:w="100" w:type="dxa"/>
              <w:left w:w="120" w:type="dxa"/>
              <w:right w:w="120" w:type="dxa"/>
            </w:tcMar>
          </w:tcPr>
          <w:p>
            <w:pPr>
              <w:spacing w:line="276" w:lineRule="auto"/>
              <w:jc w:val="center"/>
            </w:pPr>
            <w:r>
              <w:rPr>
                <w:sz w:val="19"/>
              </w:rPr>
              <w:t>27</w:t>
            </w:r>
          </w:p>
        </w:tc>
      </w:tr>
      <w:tr>
        <w:tc>
          <w:tcPr>
            <w:tcW w:type="dxa" w:w="2592"/>
            <w:tcMar>
              <w:top w:w="100" w:type="dxa"/>
              <w:bottom w:w="100" w:type="dxa"/>
              <w:left w:w="120" w:type="dxa"/>
              <w:right w:w="120" w:type="dxa"/>
            </w:tcMar>
            <w:shd w:fill="F8FAFC"/>
          </w:tcPr>
          <w:p>
            <w:pPr>
              <w:spacing w:line="276" w:lineRule="auto"/>
              <w:jc w:val="center"/>
            </w:pPr>
            <w:r>
              <w:rPr>
                <w:b/>
                <w:sz w:val="19"/>
              </w:rPr>
              <w:t>RFC 8259</w:t>
            </w:r>
          </w:p>
        </w:tc>
        <w:tc>
          <w:tcPr>
            <w:tcW w:type="dxa" w:w="1584"/>
            <w:tcMar>
              <w:top w:w="100" w:type="dxa"/>
              <w:bottom w:w="100" w:type="dxa"/>
              <w:left w:w="120" w:type="dxa"/>
              <w:right w:w="120" w:type="dxa"/>
            </w:tcMar>
            <w:shd w:fill="F8FAFC"/>
          </w:tcPr>
          <w:p>
            <w:pPr>
              <w:spacing w:line="276" w:lineRule="auto"/>
              <w:jc w:val="center"/>
            </w:pPr>
            <w:r>
              <w:rPr>
                <w:sz w:val="19"/>
              </w:rPr>
              <w:t>IETF</w:t>
            </w:r>
          </w:p>
        </w:tc>
        <w:tc>
          <w:tcPr>
            <w:tcW w:type="dxa" w:w="4608"/>
            <w:tcMar>
              <w:top w:w="100" w:type="dxa"/>
              <w:bottom w:w="100" w:type="dxa"/>
              <w:left w:w="120" w:type="dxa"/>
              <w:right w:w="120" w:type="dxa"/>
            </w:tcMar>
            <w:shd w:fill="F8FAFC"/>
          </w:tcPr>
          <w:p>
            <w:pPr>
              <w:spacing w:line="276" w:lineRule="auto"/>
              <w:jc w:val="both"/>
            </w:pPr>
            <w:r>
              <w:rPr>
                <w:sz w:val="19"/>
              </w:rPr>
              <w:t>The JavaScript Object Notation (JSON) Data Interchange Format governing API serialization, parameter typing, and schema validation.</w:t>
            </w:r>
          </w:p>
        </w:tc>
        <w:tc>
          <w:tcPr>
            <w:tcW w:type="dxa" w:w="1152"/>
            <w:tcMar>
              <w:top w:w="100" w:type="dxa"/>
              <w:bottom w:w="100" w:type="dxa"/>
              <w:left w:w="120" w:type="dxa"/>
              <w:right w:w="120" w:type="dxa"/>
            </w:tcMar>
            <w:shd w:fill="F8FAFC"/>
          </w:tcPr>
          <w:p>
            <w:pPr>
              <w:spacing w:line="276" w:lineRule="auto"/>
              <w:jc w:val="center"/>
            </w:pPr>
            <w:r>
              <w:rPr>
                <w:sz w:val="19"/>
              </w:rPr>
              <w:t>28</w:t>
            </w:r>
          </w:p>
        </w:tc>
      </w:tr>
      <w:tr>
        <w:tc>
          <w:tcPr>
            <w:tcW w:type="dxa" w:w="2592"/>
            <w:tcMar>
              <w:top w:w="100" w:type="dxa"/>
              <w:bottom w:w="100" w:type="dxa"/>
              <w:left w:w="120" w:type="dxa"/>
              <w:right w:w="120" w:type="dxa"/>
            </w:tcMar>
          </w:tcPr>
          <w:p>
            <w:pPr>
              <w:spacing w:line="276" w:lineRule="auto"/>
              <w:jc w:val="center"/>
            </w:pPr>
            <w:r>
              <w:rPr>
                <w:b/>
                <w:sz w:val="19"/>
              </w:rPr>
              <w:t>EU AI Act (2024)</w:t>
            </w:r>
          </w:p>
        </w:tc>
        <w:tc>
          <w:tcPr>
            <w:tcW w:type="dxa" w:w="1584"/>
            <w:tcMar>
              <w:top w:w="100" w:type="dxa"/>
              <w:bottom w:w="100" w:type="dxa"/>
              <w:left w:w="120" w:type="dxa"/>
              <w:right w:w="120" w:type="dxa"/>
            </w:tcMar>
          </w:tcPr>
          <w:p>
            <w:pPr>
              <w:spacing w:line="276" w:lineRule="auto"/>
              <w:jc w:val="center"/>
            </w:pPr>
            <w:r>
              <w:rPr>
                <w:sz w:val="19"/>
              </w:rPr>
              <w:t>European Parliament</w:t>
            </w:r>
          </w:p>
        </w:tc>
        <w:tc>
          <w:tcPr>
            <w:tcW w:type="dxa" w:w="4608"/>
            <w:tcMar>
              <w:top w:w="100" w:type="dxa"/>
              <w:bottom w:w="100" w:type="dxa"/>
              <w:left w:w="120" w:type="dxa"/>
              <w:right w:w="120" w:type="dxa"/>
            </w:tcMar>
          </w:tcPr>
          <w:p>
            <w:pPr>
              <w:spacing w:line="276" w:lineRule="auto"/>
              <w:jc w:val="both"/>
            </w:pPr>
            <w:r>
              <w:rPr>
                <w:sz w:val="19"/>
              </w:rPr>
              <w:t>Regulatory framework for high-risk employment AI systems: mandates algorithmic transparency, absence of demographic bias, human-in-the-loop oversight, and logging.</w:t>
            </w:r>
          </w:p>
        </w:tc>
        <w:tc>
          <w:tcPr>
            <w:tcW w:type="dxa" w:w="1152"/>
            <w:tcMar>
              <w:top w:w="100" w:type="dxa"/>
              <w:bottom w:w="100" w:type="dxa"/>
              <w:left w:w="120" w:type="dxa"/>
              <w:right w:w="120" w:type="dxa"/>
            </w:tcMar>
          </w:tcPr>
          <w:p>
            <w:pPr>
              <w:spacing w:line="276" w:lineRule="auto"/>
              <w:jc w:val="center"/>
            </w:pPr>
            <w:r>
              <w:rPr>
                <w:sz w:val="19"/>
              </w:rPr>
              <w:t>26</w:t>
            </w:r>
          </w:p>
        </w:tc>
      </w:tr>
    </w:tbl>
    <w:p>
      <w:r>
        <w:br w:type="page"/>
      </w:r>
    </w:p>
    <w:p>
      <w:pPr>
        <w:spacing w:after="320"/>
        <w:jc w:val="center"/>
      </w:pPr>
      <w:r>
        <w:rPr>
          <w:rFonts w:ascii="Times New Roman" w:hAnsi="Times New Roman"/>
          <w:b/>
          <w:sz w:val="32"/>
        </w:rPr>
        <w:t>ABSTRACT</w:t>
      </w:r>
    </w:p>
    <w:p>
      <w:pPr>
        <w:spacing w:line="360" w:lineRule="auto" w:after="240"/>
        <w:jc w:val="both"/>
      </w:pPr>
      <w:r>
        <w:t>In modern human capital and enterprise management, annual performance appraisals and salary increment determinations remain among the most critical yet inefficient organizational processes. Traditionally governed by subjective managerial discretion, legacy compensation spreadsheets, and rigid percentile grids, the appraisal process frequently introduces severe cognitive biases, compensation inequities, and acute employee attrition in high-demand technical sectors. This project presents AURA Predictor, a production-grade, enterprise-ready machine learning decision support engine engineered to forecast, benchmark, and audit employee salary increment percentages (Percentage Salary Hike) with mathematical rigor.</w:t>
      </w:r>
    </w:p>
    <w:p>
      <w:pPr>
        <w:spacing w:line="360" w:lineRule="auto" w:after="240"/>
        <w:jc w:val="both"/>
      </w:pPr>
      <w:r>
        <w:t>Trained on an extensive enterprise dataset comprising 22,770 verified records across primary Indian software engineering hubs, the platform establishes a dual-model benchmarking architecture. A regularized Gradient Boosting Regressor (GBR) ensemble operates as the non-linear production engine, while an Ordinary Least Squares (OLS) Linear Regression model serves as an explainable baseline. Evaluated on a strict 20% held-out test split (n=4,554), the production Gradient Boosting model achieves a Root Mean Squared Error (RMSE) of 6.1440, a Mean Absolute Error (MAE) of 5.1281%, and an R² of 0.2803, significantly outperforming the linear baseline across all metrics. Gini impurity feature importance derivations establish that Total Industry Experience (49.0%) and Current Base Salary (31.8%) constitute the dominant drivers of market-calibrated compensation adjustments, followed by Job Role domain (9.8%), Employment Status (5.6%), and Performance Rating (1.4%).</w:t>
      </w:r>
    </w:p>
    <w:p>
      <w:pPr>
        <w:spacing w:line="360" w:lineRule="auto" w:after="240"/>
        <w:jc w:val="both"/>
      </w:pPr>
      <w:r>
        <w:t>The software architecture is engineered as a decoupled, high-performance distributed system: a Python-based RESTful API microservice utilizes pre-compiled Scikit-Learn pipelines, while the client presentation layer is built with React 18, TypeScript, and Tailwind CSS. The system provides real-time appraisal simulations, cohort batch-inference capabilities, sub-15ms execution latency, and automated client-side heuristic fallbacks, strictly adhering to ISO/IEC 25010 software quality benchmarks and EU AI Act 2024 compliance directives for algorithmic transparency.</w:t>
      </w:r>
    </w:p>
    <w:p>
      <w:pPr>
        <w:spacing w:line="360" w:lineRule="auto" w:before="240"/>
      </w:pPr>
      <w:r>
        <w:rPr>
          <w:b/>
        </w:rPr>
        <w:t xml:space="preserve">Keywords: </w:t>
      </w:r>
      <w:r>
        <w:t>Salary Hike Prediction, Gradient Boosting Ensemble, Ordinary Least Squares, HR Decision Support, Talent Retention, Algorithmic Transparency, REST Microservice, React 18, ISO/IEC 25010.</w:t>
      </w:r>
    </w:p>
    <w:p>
      <w:r>
        <w:br w:type="page"/>
      </w:r>
    </w:p>
    <w:p>
      <w:pPr>
        <w:spacing w:after="320"/>
        <w:jc w:val="center"/>
      </w:pPr>
      <w:r>
        <w:rPr>
          <w:rFonts w:ascii="Times New Roman" w:hAnsi="Times New Roman"/>
          <w:b/>
          <w:sz w:val="32"/>
        </w:rPr>
        <w:t>GRAPHICAL ABSTRACT</w:t>
      </w:r>
    </w:p>
    <w:p>
      <w:pPr>
        <w:spacing w:line="360" w:lineRule="auto" w:after="280"/>
        <w:jc w:val="both"/>
      </w:pPr>
      <w:r>
        <w:t>The graphical abstract encapsulates the end-to-end operational topology of the AURA Predictor platform: from raw dataset ingestion, feature scaling, dual-model machine learning benchmarking, through the high-throughput RESTful API gateway, and ending in the enterprise presentation dashboard with live auditing and telemetry.</w:t>
      </w:r>
    </w:p>
    <w:p>
      <w:pPr>
        <w:spacing w:after="160"/>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fig_model_performance.png"/>
                    <pic:cNvPicPr/>
                  </pic:nvPicPr>
                  <pic:blipFill>
                    <a:blip r:embed="rId10"/>
                    <a:stretch>
                      <a:fillRect/>
                    </a:stretch>
                  </pic:blipFill>
                  <pic:spPr>
                    <a:xfrm>
                      <a:off x="0" y="0"/>
                      <a:ext cx="5303520" cy="2946400"/>
                    </a:xfrm>
                    <a:prstGeom prst="rect"/>
                  </pic:spPr>
                </pic:pic>
              </a:graphicData>
            </a:graphic>
          </wp:inline>
        </w:drawing>
      </w:r>
    </w:p>
    <w:p>
      <w:pPr>
        <w:spacing w:after="320"/>
        <w:jc w:val="center"/>
      </w:pPr>
      <w:r>
        <w:rPr>
          <w:b/>
          <w:sz w:val="20"/>
        </w:rPr>
        <w:t>Graphical Abstract: Empirical Dual-Model Performance &amp; Predictive Validation Pipeline</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tblBorders>
      </w:tblPr>
      <w:tblGrid>
        <w:gridCol w:w="4500"/>
        <w:gridCol w:w="4500"/>
      </w:tblGrid>
      <w:tr>
        <w:tc>
          <w:tcPr>
            <w:tcW w:type="dxa" w:w="3600"/>
            <w:tcMar>
              <w:top w:w="100" w:type="dxa"/>
              <w:bottom w:w="100" w:type="dxa"/>
              <w:left w:w="120" w:type="dxa"/>
              <w:right w:w="120" w:type="dxa"/>
            </w:tcMar>
            <w:shd w:fill="F1F5F9"/>
          </w:tcPr>
          <w:p>
            <w:r>
              <w:rPr>
                <w:b/>
              </w:rPr>
              <w:t>Data Pipeline Layer</w:t>
            </w:r>
          </w:p>
        </w:tc>
        <w:tc>
          <w:tcPr>
            <w:tcW w:type="dxa" w:w="6048"/>
            <w:tcMar>
              <w:top w:w="100" w:type="dxa"/>
              <w:bottom w:w="100" w:type="dxa"/>
              <w:left w:w="120" w:type="dxa"/>
              <w:right w:w="120" w:type="dxa"/>
            </w:tcMar>
          </w:tcPr>
          <w:p>
            <w:pPr>
              <w:spacing w:line="288" w:lineRule="auto"/>
            </w:pPr>
            <w:r>
              <w:rPr>
                <w:sz w:val="20"/>
              </w:rPr>
              <w:t>Ingests 22,770 enterprise records. ColumnTransformer executes StandardScaler on numeric attributes (Experience, Salary, Rating) and OneHotEncoder on categorical fields (Job Roles, Status, Location).</w:t>
            </w:r>
          </w:p>
        </w:tc>
      </w:tr>
      <w:tr>
        <w:tc>
          <w:tcPr>
            <w:tcW w:type="dxa" w:w="3600"/>
            <w:tcMar>
              <w:top w:w="100" w:type="dxa"/>
              <w:bottom w:w="100" w:type="dxa"/>
              <w:left w:w="120" w:type="dxa"/>
              <w:right w:w="120" w:type="dxa"/>
            </w:tcMar>
            <w:shd w:fill="F1F5F9"/>
          </w:tcPr>
          <w:p>
            <w:r>
              <w:rPr>
                <w:b/>
              </w:rPr>
              <w:t>Dual-Model Core Engine</w:t>
            </w:r>
          </w:p>
        </w:tc>
        <w:tc>
          <w:tcPr>
            <w:tcW w:type="dxa" w:w="6048"/>
            <w:tcMar>
              <w:top w:w="100" w:type="dxa"/>
              <w:bottom w:w="100" w:type="dxa"/>
              <w:left w:w="120" w:type="dxa"/>
              <w:right w:w="120" w:type="dxa"/>
            </w:tcMar>
          </w:tcPr>
          <w:p>
            <w:pPr>
              <w:spacing w:line="288" w:lineRule="auto"/>
            </w:pPr>
            <w:r>
              <w:rPr>
                <w:sz w:val="20"/>
              </w:rPr>
              <w:t>Ensembles regularized Gradient Boosting (150 trees, max depth 4) alongside OLS Linear Regression baseline to provide dual-benchmark predictions with 12.88% lower RMSE.</w:t>
            </w:r>
          </w:p>
        </w:tc>
      </w:tr>
      <w:tr>
        <w:tc>
          <w:tcPr>
            <w:tcW w:type="dxa" w:w="3600"/>
            <w:tcMar>
              <w:top w:w="100" w:type="dxa"/>
              <w:bottom w:w="100" w:type="dxa"/>
              <w:left w:w="120" w:type="dxa"/>
              <w:right w:w="120" w:type="dxa"/>
            </w:tcMar>
            <w:shd w:fill="F1F5F9"/>
          </w:tcPr>
          <w:p>
            <w:r>
              <w:rPr>
                <w:b/>
              </w:rPr>
              <w:t>High-Throughput REST API</w:t>
            </w:r>
          </w:p>
        </w:tc>
        <w:tc>
          <w:tcPr>
            <w:tcW w:type="dxa" w:w="6048"/>
            <w:tcMar>
              <w:top w:w="100" w:type="dxa"/>
              <w:bottom w:w="100" w:type="dxa"/>
              <w:left w:w="120" w:type="dxa"/>
              <w:right w:w="120" w:type="dxa"/>
            </w:tcMar>
          </w:tcPr>
          <w:p>
            <w:pPr>
              <w:spacing w:line="288" w:lineRule="auto"/>
            </w:pPr>
            <w:r>
              <w:rPr>
                <w:sz w:val="20"/>
              </w:rPr>
              <w:t>Stateless Python HTTP daemon (Port 5050) delivering &lt;15ms p95 latency, input sanitization, batch cohort processing, and in-memory FIFO telemetry ring-buffering.</w:t>
            </w:r>
          </w:p>
        </w:tc>
      </w:tr>
      <w:tr>
        <w:tc>
          <w:tcPr>
            <w:tcW w:type="dxa" w:w="3600"/>
            <w:tcMar>
              <w:top w:w="100" w:type="dxa"/>
              <w:bottom w:w="100" w:type="dxa"/>
              <w:left w:w="120" w:type="dxa"/>
              <w:right w:w="120" w:type="dxa"/>
            </w:tcMar>
            <w:shd w:fill="F1F5F9"/>
          </w:tcPr>
          <w:p>
            <w:r>
              <w:rPr>
                <w:b/>
              </w:rPr>
              <w:t>Enterprise Web Client</w:t>
            </w:r>
          </w:p>
        </w:tc>
        <w:tc>
          <w:tcPr>
            <w:tcW w:type="dxa" w:w="6048"/>
            <w:tcMar>
              <w:top w:w="100" w:type="dxa"/>
              <w:bottom w:w="100" w:type="dxa"/>
              <w:left w:w="120" w:type="dxa"/>
              <w:right w:w="120" w:type="dxa"/>
            </w:tcMar>
          </w:tcPr>
          <w:p>
            <w:pPr>
              <w:spacing w:line="288" w:lineRule="auto"/>
            </w:pPr>
            <w:r>
              <w:rPr>
                <w:sz w:val="20"/>
              </w:rPr>
              <w:t>Modern React 18 / TypeScript SPA (Port 3000) featuring real-time interactive appraisal simulator, comparative analytics, and resilient offline heuristic fallback.</w:t>
            </w:r>
          </w:p>
        </w:tc>
      </w:tr>
    </w:tbl>
    <w:p>
      <w:r>
        <w:br w:type="page"/>
      </w:r>
    </w:p>
    <w:p>
      <w:pPr>
        <w:spacing w:after="320"/>
        <w:jc w:val="center"/>
      </w:pPr>
      <w:r>
        <w:rPr>
          <w:rFonts w:ascii="Times New Roman" w:hAnsi="Times New Roman"/>
          <w:b/>
          <w:sz w:val="32"/>
        </w:rPr>
        <w:t>ABBREVIATIONS</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tblBorders>
      </w:tblPr>
      <w:tblGrid>
        <w:gridCol w:w="2880"/>
        <w:gridCol w:w="6768"/>
      </w:tblGrid>
      <w:tr>
        <w:tc>
          <w:tcPr>
            <w:tcW w:type="dxa" w:w="4500"/>
            <w:shd w:fill="E2E8F0"/>
          </w:tcPr>
          <w:p>
            <w:r>
              <w:rPr>
                <w:b/>
              </w:rPr>
              <w:t>Abbreviation</w:t>
            </w:r>
          </w:p>
        </w:tc>
        <w:tc>
          <w:tcPr>
            <w:tcW w:type="dxa" w:w="4500"/>
            <w:shd w:fill="E2E8F0"/>
          </w:tcPr>
          <w:p>
            <w:r>
              <w:rPr>
                <w:b/>
              </w:rPr>
              <w:t>Expanded Description</w:t>
            </w:r>
          </w:p>
        </w:tc>
      </w:tr>
      <w:tr>
        <w:tc>
          <w:tcPr>
            <w:tcW w:type="dxa" w:w="2880"/>
            <w:tcMar>
              <w:top w:w="60" w:type="dxa"/>
              <w:bottom w:w="60" w:type="dxa"/>
              <w:left w:w="100" w:type="dxa"/>
              <w:right w:w="100" w:type="dxa"/>
            </w:tcMar>
          </w:tcPr>
          <w:p>
            <w:r>
              <w:rPr>
                <w:b/>
                <w:sz w:val="20"/>
              </w:rPr>
              <w:t>API</w:t>
            </w:r>
          </w:p>
        </w:tc>
        <w:tc>
          <w:tcPr>
            <w:tcW w:type="dxa" w:w="6768"/>
            <w:tcMar>
              <w:top w:w="60" w:type="dxa"/>
              <w:bottom w:w="60" w:type="dxa"/>
              <w:left w:w="100" w:type="dxa"/>
              <w:right w:w="100" w:type="dxa"/>
            </w:tcMar>
          </w:tcPr>
          <w:p>
            <w:r>
              <w:rPr>
                <w:sz w:val="20"/>
              </w:rPr>
              <w:t>Application Programming Interface</w:t>
            </w:r>
          </w:p>
        </w:tc>
      </w:tr>
      <w:tr>
        <w:tc>
          <w:tcPr>
            <w:tcW w:type="dxa" w:w="2880"/>
            <w:tcMar>
              <w:top w:w="60" w:type="dxa"/>
              <w:bottom w:w="60" w:type="dxa"/>
              <w:left w:w="100" w:type="dxa"/>
              <w:right w:w="100" w:type="dxa"/>
            </w:tcMar>
            <w:shd w:fill="F8FAFC"/>
          </w:tcPr>
          <w:p>
            <w:r>
              <w:rPr>
                <w:b/>
                <w:sz w:val="20"/>
              </w:rPr>
              <w:t>CORS</w:t>
            </w:r>
          </w:p>
        </w:tc>
        <w:tc>
          <w:tcPr>
            <w:tcW w:type="dxa" w:w="6768"/>
            <w:tcMar>
              <w:top w:w="60" w:type="dxa"/>
              <w:bottom w:w="60" w:type="dxa"/>
              <w:left w:w="100" w:type="dxa"/>
              <w:right w:w="100" w:type="dxa"/>
            </w:tcMar>
            <w:shd w:fill="F8FAFC"/>
          </w:tcPr>
          <w:p>
            <w:r>
              <w:rPr>
                <w:sz w:val="20"/>
              </w:rPr>
              <w:t>Cross-Origin Resource Sharing</w:t>
            </w:r>
          </w:p>
        </w:tc>
      </w:tr>
      <w:tr>
        <w:tc>
          <w:tcPr>
            <w:tcW w:type="dxa" w:w="2880"/>
            <w:tcMar>
              <w:top w:w="60" w:type="dxa"/>
              <w:bottom w:w="60" w:type="dxa"/>
              <w:left w:w="100" w:type="dxa"/>
              <w:right w:w="100" w:type="dxa"/>
            </w:tcMar>
          </w:tcPr>
          <w:p>
            <w:r>
              <w:rPr>
                <w:b/>
                <w:sz w:val="20"/>
              </w:rPr>
              <w:t>CPI</w:t>
            </w:r>
          </w:p>
        </w:tc>
        <w:tc>
          <w:tcPr>
            <w:tcW w:type="dxa" w:w="6768"/>
            <w:tcMar>
              <w:top w:w="60" w:type="dxa"/>
              <w:bottom w:w="60" w:type="dxa"/>
              <w:left w:w="100" w:type="dxa"/>
              <w:right w:w="100" w:type="dxa"/>
            </w:tcMar>
          </w:tcPr>
          <w:p>
            <w:r>
              <w:rPr>
                <w:sz w:val="20"/>
              </w:rPr>
              <w:t>Consumer Price Index</w:t>
            </w:r>
          </w:p>
        </w:tc>
      </w:tr>
      <w:tr>
        <w:tc>
          <w:tcPr>
            <w:tcW w:type="dxa" w:w="2880"/>
            <w:tcMar>
              <w:top w:w="60" w:type="dxa"/>
              <w:bottom w:w="60" w:type="dxa"/>
              <w:left w:w="100" w:type="dxa"/>
              <w:right w:w="100" w:type="dxa"/>
            </w:tcMar>
            <w:shd w:fill="F8FAFC"/>
          </w:tcPr>
          <w:p>
            <w:r>
              <w:rPr>
                <w:b/>
                <w:sz w:val="20"/>
              </w:rPr>
              <w:t>EEOC</w:t>
            </w:r>
          </w:p>
        </w:tc>
        <w:tc>
          <w:tcPr>
            <w:tcW w:type="dxa" w:w="6768"/>
            <w:tcMar>
              <w:top w:w="60" w:type="dxa"/>
              <w:bottom w:w="60" w:type="dxa"/>
              <w:left w:w="100" w:type="dxa"/>
              <w:right w:w="100" w:type="dxa"/>
            </w:tcMar>
            <w:shd w:fill="F8FAFC"/>
          </w:tcPr>
          <w:p>
            <w:r>
              <w:rPr>
                <w:sz w:val="20"/>
              </w:rPr>
              <w:t>Equal Employment Opportunity Commission</w:t>
            </w:r>
          </w:p>
        </w:tc>
      </w:tr>
      <w:tr>
        <w:tc>
          <w:tcPr>
            <w:tcW w:type="dxa" w:w="2880"/>
            <w:tcMar>
              <w:top w:w="60" w:type="dxa"/>
              <w:bottom w:w="60" w:type="dxa"/>
              <w:left w:w="100" w:type="dxa"/>
              <w:right w:w="100" w:type="dxa"/>
            </w:tcMar>
          </w:tcPr>
          <w:p>
            <w:r>
              <w:rPr>
                <w:b/>
                <w:sz w:val="20"/>
              </w:rPr>
              <w:t>ERP</w:t>
            </w:r>
          </w:p>
        </w:tc>
        <w:tc>
          <w:tcPr>
            <w:tcW w:type="dxa" w:w="6768"/>
            <w:tcMar>
              <w:top w:w="60" w:type="dxa"/>
              <w:bottom w:w="60" w:type="dxa"/>
              <w:left w:w="100" w:type="dxa"/>
              <w:right w:w="100" w:type="dxa"/>
            </w:tcMar>
          </w:tcPr>
          <w:p>
            <w:r>
              <w:rPr>
                <w:sz w:val="20"/>
              </w:rPr>
              <w:t>Enterprise Resource Planning</w:t>
            </w:r>
          </w:p>
        </w:tc>
      </w:tr>
      <w:tr>
        <w:tc>
          <w:tcPr>
            <w:tcW w:type="dxa" w:w="2880"/>
            <w:tcMar>
              <w:top w:w="60" w:type="dxa"/>
              <w:bottom w:w="60" w:type="dxa"/>
              <w:left w:w="100" w:type="dxa"/>
              <w:right w:w="100" w:type="dxa"/>
            </w:tcMar>
            <w:shd w:fill="F8FAFC"/>
          </w:tcPr>
          <w:p>
            <w:r>
              <w:rPr>
                <w:b/>
                <w:sz w:val="20"/>
              </w:rPr>
              <w:t>FIFO</w:t>
            </w:r>
          </w:p>
        </w:tc>
        <w:tc>
          <w:tcPr>
            <w:tcW w:type="dxa" w:w="6768"/>
            <w:tcMar>
              <w:top w:w="60" w:type="dxa"/>
              <w:bottom w:w="60" w:type="dxa"/>
              <w:left w:w="100" w:type="dxa"/>
              <w:right w:w="100" w:type="dxa"/>
            </w:tcMar>
            <w:shd w:fill="F8FAFC"/>
          </w:tcPr>
          <w:p>
            <w:r>
              <w:rPr>
                <w:sz w:val="20"/>
              </w:rPr>
              <w:t>First In, First Out (Queue Discipline)</w:t>
            </w:r>
          </w:p>
        </w:tc>
      </w:tr>
      <w:tr>
        <w:tc>
          <w:tcPr>
            <w:tcW w:type="dxa" w:w="2880"/>
            <w:tcMar>
              <w:top w:w="60" w:type="dxa"/>
              <w:bottom w:w="60" w:type="dxa"/>
              <w:left w:w="100" w:type="dxa"/>
              <w:right w:w="100" w:type="dxa"/>
            </w:tcMar>
          </w:tcPr>
          <w:p>
            <w:r>
              <w:rPr>
                <w:b/>
                <w:sz w:val="20"/>
              </w:rPr>
              <w:t>GBR</w:t>
            </w:r>
          </w:p>
        </w:tc>
        <w:tc>
          <w:tcPr>
            <w:tcW w:type="dxa" w:w="6768"/>
            <w:tcMar>
              <w:top w:w="60" w:type="dxa"/>
              <w:bottom w:w="60" w:type="dxa"/>
              <w:left w:w="100" w:type="dxa"/>
              <w:right w:w="100" w:type="dxa"/>
            </w:tcMar>
          </w:tcPr>
          <w:p>
            <w:r>
              <w:rPr>
                <w:sz w:val="20"/>
              </w:rPr>
              <w:t>Gradient Boosting Regressor</w:t>
            </w:r>
          </w:p>
        </w:tc>
      </w:tr>
      <w:tr>
        <w:tc>
          <w:tcPr>
            <w:tcW w:type="dxa" w:w="2880"/>
            <w:tcMar>
              <w:top w:w="60" w:type="dxa"/>
              <w:bottom w:w="60" w:type="dxa"/>
              <w:left w:w="100" w:type="dxa"/>
              <w:right w:w="100" w:type="dxa"/>
            </w:tcMar>
            <w:shd w:fill="F8FAFC"/>
          </w:tcPr>
          <w:p>
            <w:r>
              <w:rPr>
                <w:b/>
                <w:sz w:val="20"/>
              </w:rPr>
              <w:t>GDPR</w:t>
            </w:r>
          </w:p>
        </w:tc>
        <w:tc>
          <w:tcPr>
            <w:tcW w:type="dxa" w:w="6768"/>
            <w:tcMar>
              <w:top w:w="60" w:type="dxa"/>
              <w:bottom w:w="60" w:type="dxa"/>
              <w:left w:w="100" w:type="dxa"/>
              <w:right w:w="100" w:type="dxa"/>
            </w:tcMar>
            <w:shd w:fill="F8FAFC"/>
          </w:tcPr>
          <w:p>
            <w:r>
              <w:rPr>
                <w:sz w:val="20"/>
              </w:rPr>
              <w:t>General Data Protection Regulation</w:t>
            </w:r>
          </w:p>
        </w:tc>
      </w:tr>
      <w:tr>
        <w:tc>
          <w:tcPr>
            <w:tcW w:type="dxa" w:w="2880"/>
            <w:tcMar>
              <w:top w:w="60" w:type="dxa"/>
              <w:bottom w:w="60" w:type="dxa"/>
              <w:left w:w="100" w:type="dxa"/>
              <w:right w:w="100" w:type="dxa"/>
            </w:tcMar>
          </w:tcPr>
          <w:p>
            <w:r>
              <w:rPr>
                <w:b/>
                <w:sz w:val="20"/>
              </w:rPr>
              <w:t>HMR</w:t>
            </w:r>
          </w:p>
        </w:tc>
        <w:tc>
          <w:tcPr>
            <w:tcW w:type="dxa" w:w="6768"/>
            <w:tcMar>
              <w:top w:w="60" w:type="dxa"/>
              <w:bottom w:w="60" w:type="dxa"/>
              <w:left w:w="100" w:type="dxa"/>
              <w:right w:w="100" w:type="dxa"/>
            </w:tcMar>
          </w:tcPr>
          <w:p>
            <w:r>
              <w:rPr>
                <w:sz w:val="20"/>
              </w:rPr>
              <w:t>Hot Module Replacement</w:t>
            </w:r>
          </w:p>
        </w:tc>
      </w:tr>
      <w:tr>
        <w:tc>
          <w:tcPr>
            <w:tcW w:type="dxa" w:w="2880"/>
            <w:tcMar>
              <w:top w:w="60" w:type="dxa"/>
              <w:bottom w:w="60" w:type="dxa"/>
              <w:left w:w="100" w:type="dxa"/>
              <w:right w:w="100" w:type="dxa"/>
            </w:tcMar>
            <w:shd w:fill="F8FAFC"/>
          </w:tcPr>
          <w:p>
            <w:r>
              <w:rPr>
                <w:b/>
                <w:sz w:val="20"/>
              </w:rPr>
              <w:t>HRIS</w:t>
            </w:r>
          </w:p>
        </w:tc>
        <w:tc>
          <w:tcPr>
            <w:tcW w:type="dxa" w:w="6768"/>
            <w:tcMar>
              <w:top w:w="60" w:type="dxa"/>
              <w:bottom w:w="60" w:type="dxa"/>
              <w:left w:w="100" w:type="dxa"/>
              <w:right w:w="100" w:type="dxa"/>
            </w:tcMar>
            <w:shd w:fill="F8FAFC"/>
          </w:tcPr>
          <w:p>
            <w:r>
              <w:rPr>
                <w:sz w:val="20"/>
              </w:rPr>
              <w:t>Human Resource Information System</w:t>
            </w:r>
          </w:p>
        </w:tc>
      </w:tr>
      <w:tr>
        <w:tc>
          <w:tcPr>
            <w:tcW w:type="dxa" w:w="2880"/>
            <w:tcMar>
              <w:top w:w="60" w:type="dxa"/>
              <w:bottom w:w="60" w:type="dxa"/>
              <w:left w:w="100" w:type="dxa"/>
              <w:right w:w="100" w:type="dxa"/>
            </w:tcMar>
          </w:tcPr>
          <w:p>
            <w:r>
              <w:rPr>
                <w:b/>
                <w:sz w:val="20"/>
              </w:rPr>
              <w:t>IEEE</w:t>
            </w:r>
          </w:p>
        </w:tc>
        <w:tc>
          <w:tcPr>
            <w:tcW w:type="dxa" w:w="6768"/>
            <w:tcMar>
              <w:top w:w="60" w:type="dxa"/>
              <w:bottom w:w="60" w:type="dxa"/>
              <w:left w:w="100" w:type="dxa"/>
              <w:right w:w="100" w:type="dxa"/>
            </w:tcMar>
          </w:tcPr>
          <w:p>
            <w:r>
              <w:rPr>
                <w:sz w:val="20"/>
              </w:rPr>
              <w:t>Institute of Electrical and Electronics Engineers</w:t>
            </w:r>
          </w:p>
        </w:tc>
      </w:tr>
      <w:tr>
        <w:tc>
          <w:tcPr>
            <w:tcW w:type="dxa" w:w="2880"/>
            <w:tcMar>
              <w:top w:w="60" w:type="dxa"/>
              <w:bottom w:w="60" w:type="dxa"/>
              <w:left w:w="100" w:type="dxa"/>
              <w:right w:w="100" w:type="dxa"/>
            </w:tcMar>
            <w:shd w:fill="F8FAFC"/>
          </w:tcPr>
          <w:p>
            <w:r>
              <w:rPr>
                <w:b/>
                <w:sz w:val="20"/>
              </w:rPr>
              <w:t>IETF</w:t>
            </w:r>
          </w:p>
        </w:tc>
        <w:tc>
          <w:tcPr>
            <w:tcW w:type="dxa" w:w="6768"/>
            <w:tcMar>
              <w:top w:w="60" w:type="dxa"/>
              <w:bottom w:w="60" w:type="dxa"/>
              <w:left w:w="100" w:type="dxa"/>
              <w:right w:w="100" w:type="dxa"/>
            </w:tcMar>
            <w:shd w:fill="F8FAFC"/>
          </w:tcPr>
          <w:p>
            <w:r>
              <w:rPr>
                <w:sz w:val="20"/>
              </w:rPr>
              <w:t>Internet Engineering Task Force</w:t>
            </w:r>
          </w:p>
        </w:tc>
      </w:tr>
      <w:tr>
        <w:tc>
          <w:tcPr>
            <w:tcW w:type="dxa" w:w="2880"/>
            <w:tcMar>
              <w:top w:w="60" w:type="dxa"/>
              <w:bottom w:w="60" w:type="dxa"/>
              <w:left w:w="100" w:type="dxa"/>
              <w:right w:w="100" w:type="dxa"/>
            </w:tcMar>
          </w:tcPr>
          <w:p>
            <w:r>
              <w:rPr>
                <w:b/>
                <w:sz w:val="20"/>
              </w:rPr>
              <w:t>INR</w:t>
            </w:r>
          </w:p>
        </w:tc>
        <w:tc>
          <w:tcPr>
            <w:tcW w:type="dxa" w:w="6768"/>
            <w:tcMar>
              <w:top w:w="60" w:type="dxa"/>
              <w:bottom w:w="60" w:type="dxa"/>
              <w:left w:w="100" w:type="dxa"/>
              <w:right w:w="100" w:type="dxa"/>
            </w:tcMar>
          </w:tcPr>
          <w:p>
            <w:r>
              <w:rPr>
                <w:sz w:val="20"/>
              </w:rPr>
              <w:t>Indian Rupee (₹)</w:t>
            </w:r>
          </w:p>
        </w:tc>
      </w:tr>
      <w:tr>
        <w:tc>
          <w:tcPr>
            <w:tcW w:type="dxa" w:w="2880"/>
            <w:tcMar>
              <w:top w:w="60" w:type="dxa"/>
              <w:bottom w:w="60" w:type="dxa"/>
              <w:left w:w="100" w:type="dxa"/>
              <w:right w:w="100" w:type="dxa"/>
            </w:tcMar>
            <w:shd w:fill="F8FAFC"/>
          </w:tcPr>
          <w:p>
            <w:r>
              <w:rPr>
                <w:b/>
                <w:sz w:val="20"/>
              </w:rPr>
              <w:t>ISO</w:t>
            </w:r>
          </w:p>
        </w:tc>
        <w:tc>
          <w:tcPr>
            <w:tcW w:type="dxa" w:w="6768"/>
            <w:tcMar>
              <w:top w:w="60" w:type="dxa"/>
              <w:bottom w:w="60" w:type="dxa"/>
              <w:left w:w="100" w:type="dxa"/>
              <w:right w:w="100" w:type="dxa"/>
            </w:tcMar>
            <w:shd w:fill="F8FAFC"/>
          </w:tcPr>
          <w:p>
            <w:r>
              <w:rPr>
                <w:sz w:val="20"/>
              </w:rPr>
              <w:t>International Organization for Standardization</w:t>
            </w:r>
          </w:p>
        </w:tc>
      </w:tr>
      <w:tr>
        <w:tc>
          <w:tcPr>
            <w:tcW w:type="dxa" w:w="2880"/>
            <w:tcMar>
              <w:top w:w="60" w:type="dxa"/>
              <w:bottom w:w="60" w:type="dxa"/>
              <w:left w:w="100" w:type="dxa"/>
              <w:right w:w="100" w:type="dxa"/>
            </w:tcMar>
          </w:tcPr>
          <w:p>
            <w:r>
              <w:rPr>
                <w:b/>
                <w:sz w:val="20"/>
              </w:rPr>
              <w:t>JSON</w:t>
            </w:r>
          </w:p>
        </w:tc>
        <w:tc>
          <w:tcPr>
            <w:tcW w:type="dxa" w:w="6768"/>
            <w:tcMar>
              <w:top w:w="60" w:type="dxa"/>
              <w:bottom w:w="60" w:type="dxa"/>
              <w:left w:w="100" w:type="dxa"/>
              <w:right w:w="100" w:type="dxa"/>
            </w:tcMar>
          </w:tcPr>
          <w:p>
            <w:r>
              <w:rPr>
                <w:sz w:val="20"/>
              </w:rPr>
              <w:t>JavaScript Object Notation</w:t>
            </w:r>
          </w:p>
        </w:tc>
      </w:tr>
      <w:tr>
        <w:tc>
          <w:tcPr>
            <w:tcW w:type="dxa" w:w="2880"/>
            <w:tcMar>
              <w:top w:w="60" w:type="dxa"/>
              <w:bottom w:w="60" w:type="dxa"/>
              <w:left w:w="100" w:type="dxa"/>
              <w:right w:w="100" w:type="dxa"/>
            </w:tcMar>
            <w:shd w:fill="F8FAFC"/>
          </w:tcPr>
          <w:p>
            <w:r>
              <w:rPr>
                <w:b/>
                <w:sz w:val="20"/>
              </w:rPr>
              <w:t>MAE</w:t>
            </w:r>
          </w:p>
        </w:tc>
        <w:tc>
          <w:tcPr>
            <w:tcW w:type="dxa" w:w="6768"/>
            <w:tcMar>
              <w:top w:w="60" w:type="dxa"/>
              <w:bottom w:w="60" w:type="dxa"/>
              <w:left w:w="100" w:type="dxa"/>
              <w:right w:w="100" w:type="dxa"/>
            </w:tcMar>
            <w:shd w:fill="F8FAFC"/>
          </w:tcPr>
          <w:p>
            <w:r>
              <w:rPr>
                <w:sz w:val="20"/>
              </w:rPr>
              <w:t>Mean Absolute Error</w:t>
            </w:r>
          </w:p>
        </w:tc>
      </w:tr>
      <w:tr>
        <w:tc>
          <w:tcPr>
            <w:tcW w:type="dxa" w:w="2880"/>
            <w:tcMar>
              <w:top w:w="60" w:type="dxa"/>
              <w:bottom w:w="60" w:type="dxa"/>
              <w:left w:w="100" w:type="dxa"/>
              <w:right w:w="100" w:type="dxa"/>
            </w:tcMar>
          </w:tcPr>
          <w:p>
            <w:r>
              <w:rPr>
                <w:b/>
                <w:sz w:val="20"/>
              </w:rPr>
              <w:t>MDI</w:t>
            </w:r>
          </w:p>
        </w:tc>
        <w:tc>
          <w:tcPr>
            <w:tcW w:type="dxa" w:w="6768"/>
            <w:tcMar>
              <w:top w:w="60" w:type="dxa"/>
              <w:bottom w:w="60" w:type="dxa"/>
              <w:left w:w="100" w:type="dxa"/>
              <w:right w:w="100" w:type="dxa"/>
            </w:tcMar>
          </w:tcPr>
          <w:p>
            <w:r>
              <w:rPr>
                <w:sz w:val="20"/>
              </w:rPr>
              <w:t>Mean Decrease in Impurity</w:t>
            </w:r>
          </w:p>
        </w:tc>
      </w:tr>
      <w:tr>
        <w:tc>
          <w:tcPr>
            <w:tcW w:type="dxa" w:w="2880"/>
            <w:tcMar>
              <w:top w:w="60" w:type="dxa"/>
              <w:bottom w:w="60" w:type="dxa"/>
              <w:left w:w="100" w:type="dxa"/>
              <w:right w:w="100" w:type="dxa"/>
            </w:tcMar>
            <w:shd w:fill="F8FAFC"/>
          </w:tcPr>
          <w:p>
            <w:r>
              <w:rPr>
                <w:b/>
                <w:sz w:val="20"/>
              </w:rPr>
              <w:t>OHE</w:t>
            </w:r>
          </w:p>
        </w:tc>
        <w:tc>
          <w:tcPr>
            <w:tcW w:type="dxa" w:w="6768"/>
            <w:tcMar>
              <w:top w:w="60" w:type="dxa"/>
              <w:bottom w:w="60" w:type="dxa"/>
              <w:left w:w="100" w:type="dxa"/>
              <w:right w:w="100" w:type="dxa"/>
            </w:tcMar>
            <w:shd w:fill="F8FAFC"/>
          </w:tcPr>
          <w:p>
            <w:r>
              <w:rPr>
                <w:sz w:val="20"/>
              </w:rPr>
              <w:t>One-Hot Encoding</w:t>
            </w:r>
          </w:p>
        </w:tc>
      </w:tr>
      <w:tr>
        <w:tc>
          <w:tcPr>
            <w:tcW w:type="dxa" w:w="2880"/>
            <w:tcMar>
              <w:top w:w="60" w:type="dxa"/>
              <w:bottom w:w="60" w:type="dxa"/>
              <w:left w:w="100" w:type="dxa"/>
              <w:right w:w="100" w:type="dxa"/>
            </w:tcMar>
          </w:tcPr>
          <w:p>
            <w:r>
              <w:rPr>
                <w:b/>
                <w:sz w:val="20"/>
              </w:rPr>
              <w:t>OLS</w:t>
            </w:r>
          </w:p>
        </w:tc>
        <w:tc>
          <w:tcPr>
            <w:tcW w:type="dxa" w:w="6768"/>
            <w:tcMar>
              <w:top w:w="60" w:type="dxa"/>
              <w:bottom w:w="60" w:type="dxa"/>
              <w:left w:w="100" w:type="dxa"/>
              <w:right w:w="100" w:type="dxa"/>
            </w:tcMar>
          </w:tcPr>
          <w:p>
            <w:r>
              <w:rPr>
                <w:sz w:val="20"/>
              </w:rPr>
              <w:t>Ordinary Least Squares</w:t>
            </w:r>
          </w:p>
        </w:tc>
      </w:tr>
      <w:tr>
        <w:tc>
          <w:tcPr>
            <w:tcW w:type="dxa" w:w="2880"/>
            <w:tcMar>
              <w:top w:w="60" w:type="dxa"/>
              <w:bottom w:w="60" w:type="dxa"/>
              <w:left w:w="100" w:type="dxa"/>
              <w:right w:w="100" w:type="dxa"/>
            </w:tcMar>
            <w:shd w:fill="F8FAFC"/>
          </w:tcPr>
          <w:p>
            <w:r>
              <w:rPr>
                <w:b/>
                <w:sz w:val="20"/>
              </w:rPr>
              <w:t>PII</w:t>
            </w:r>
          </w:p>
        </w:tc>
        <w:tc>
          <w:tcPr>
            <w:tcW w:type="dxa" w:w="6768"/>
            <w:tcMar>
              <w:top w:w="60" w:type="dxa"/>
              <w:bottom w:w="60" w:type="dxa"/>
              <w:left w:w="100" w:type="dxa"/>
              <w:right w:w="100" w:type="dxa"/>
            </w:tcMar>
            <w:shd w:fill="F8FAFC"/>
          </w:tcPr>
          <w:p>
            <w:r>
              <w:rPr>
                <w:sz w:val="20"/>
              </w:rPr>
              <w:t>Personally Identifiable Information</w:t>
            </w:r>
          </w:p>
        </w:tc>
      </w:tr>
      <w:tr>
        <w:tc>
          <w:tcPr>
            <w:tcW w:type="dxa" w:w="2880"/>
            <w:tcMar>
              <w:top w:w="60" w:type="dxa"/>
              <w:bottom w:w="60" w:type="dxa"/>
              <w:left w:w="100" w:type="dxa"/>
              <w:right w:w="100" w:type="dxa"/>
            </w:tcMar>
          </w:tcPr>
          <w:p>
            <w:r>
              <w:rPr>
                <w:b/>
                <w:sz w:val="20"/>
              </w:rPr>
              <w:t>RBAC</w:t>
            </w:r>
          </w:p>
        </w:tc>
        <w:tc>
          <w:tcPr>
            <w:tcW w:type="dxa" w:w="6768"/>
            <w:tcMar>
              <w:top w:w="60" w:type="dxa"/>
              <w:bottom w:w="60" w:type="dxa"/>
              <w:left w:w="100" w:type="dxa"/>
              <w:right w:w="100" w:type="dxa"/>
            </w:tcMar>
          </w:tcPr>
          <w:p>
            <w:r>
              <w:rPr>
                <w:sz w:val="20"/>
              </w:rPr>
              <w:t>Role-Based Access Control</w:t>
            </w:r>
          </w:p>
        </w:tc>
      </w:tr>
      <w:tr>
        <w:tc>
          <w:tcPr>
            <w:tcW w:type="dxa" w:w="2880"/>
            <w:tcMar>
              <w:top w:w="60" w:type="dxa"/>
              <w:bottom w:w="60" w:type="dxa"/>
              <w:left w:w="100" w:type="dxa"/>
              <w:right w:w="100" w:type="dxa"/>
            </w:tcMar>
            <w:shd w:fill="F8FAFC"/>
          </w:tcPr>
          <w:p>
            <w:r>
              <w:rPr>
                <w:b/>
                <w:sz w:val="20"/>
              </w:rPr>
              <w:t>REST</w:t>
            </w:r>
          </w:p>
        </w:tc>
        <w:tc>
          <w:tcPr>
            <w:tcW w:type="dxa" w:w="6768"/>
            <w:tcMar>
              <w:top w:w="60" w:type="dxa"/>
              <w:bottom w:w="60" w:type="dxa"/>
              <w:left w:w="100" w:type="dxa"/>
              <w:right w:w="100" w:type="dxa"/>
            </w:tcMar>
            <w:shd w:fill="F8FAFC"/>
          </w:tcPr>
          <w:p>
            <w:r>
              <w:rPr>
                <w:sz w:val="20"/>
              </w:rPr>
              <w:t>Representational State Transfer</w:t>
            </w:r>
          </w:p>
        </w:tc>
      </w:tr>
      <w:tr>
        <w:tc>
          <w:tcPr>
            <w:tcW w:type="dxa" w:w="2880"/>
            <w:tcMar>
              <w:top w:w="60" w:type="dxa"/>
              <w:bottom w:w="60" w:type="dxa"/>
              <w:left w:w="100" w:type="dxa"/>
              <w:right w:w="100" w:type="dxa"/>
            </w:tcMar>
          </w:tcPr>
          <w:p>
            <w:r>
              <w:rPr>
                <w:b/>
                <w:sz w:val="20"/>
              </w:rPr>
              <w:t>RMSE</w:t>
            </w:r>
          </w:p>
        </w:tc>
        <w:tc>
          <w:tcPr>
            <w:tcW w:type="dxa" w:w="6768"/>
            <w:tcMar>
              <w:top w:w="60" w:type="dxa"/>
              <w:bottom w:w="60" w:type="dxa"/>
              <w:left w:w="100" w:type="dxa"/>
              <w:right w:w="100" w:type="dxa"/>
            </w:tcMar>
          </w:tcPr>
          <w:p>
            <w:r>
              <w:rPr>
                <w:sz w:val="20"/>
              </w:rPr>
              <w:t>Root Mean Squared Error</w:t>
            </w:r>
          </w:p>
        </w:tc>
      </w:tr>
      <w:tr>
        <w:tc>
          <w:tcPr>
            <w:tcW w:type="dxa" w:w="2880"/>
            <w:tcMar>
              <w:top w:w="60" w:type="dxa"/>
              <w:bottom w:w="60" w:type="dxa"/>
              <w:left w:w="100" w:type="dxa"/>
              <w:right w:w="100" w:type="dxa"/>
            </w:tcMar>
            <w:shd w:fill="F8FAFC"/>
          </w:tcPr>
          <w:p>
            <w:r>
              <w:rPr>
                <w:b/>
                <w:sz w:val="20"/>
              </w:rPr>
              <w:t>SDE</w:t>
            </w:r>
          </w:p>
        </w:tc>
        <w:tc>
          <w:tcPr>
            <w:tcW w:type="dxa" w:w="6768"/>
            <w:tcMar>
              <w:top w:w="60" w:type="dxa"/>
              <w:bottom w:w="60" w:type="dxa"/>
              <w:left w:w="100" w:type="dxa"/>
              <w:right w:w="100" w:type="dxa"/>
            </w:tcMar>
            <w:shd w:fill="F8FAFC"/>
          </w:tcPr>
          <w:p>
            <w:r>
              <w:rPr>
                <w:sz w:val="20"/>
              </w:rPr>
              <w:t>Software Development Engineer</w:t>
            </w:r>
          </w:p>
        </w:tc>
      </w:tr>
      <w:tr>
        <w:tc>
          <w:tcPr>
            <w:tcW w:type="dxa" w:w="2880"/>
            <w:tcMar>
              <w:top w:w="60" w:type="dxa"/>
              <w:bottom w:w="60" w:type="dxa"/>
              <w:left w:w="100" w:type="dxa"/>
              <w:right w:w="100" w:type="dxa"/>
            </w:tcMar>
          </w:tcPr>
          <w:p>
            <w:r>
              <w:rPr>
                <w:b/>
                <w:sz w:val="20"/>
              </w:rPr>
              <w:t>SPA</w:t>
            </w:r>
          </w:p>
        </w:tc>
        <w:tc>
          <w:tcPr>
            <w:tcW w:type="dxa" w:w="6768"/>
            <w:tcMar>
              <w:top w:w="60" w:type="dxa"/>
              <w:bottom w:w="60" w:type="dxa"/>
              <w:left w:w="100" w:type="dxa"/>
              <w:right w:w="100" w:type="dxa"/>
            </w:tcMar>
          </w:tcPr>
          <w:p>
            <w:r>
              <w:rPr>
                <w:sz w:val="20"/>
              </w:rPr>
              <w:t>Single Page Application</w:t>
            </w:r>
          </w:p>
        </w:tc>
      </w:tr>
      <w:tr>
        <w:tc>
          <w:tcPr>
            <w:tcW w:type="dxa" w:w="2880"/>
            <w:tcMar>
              <w:top w:w="60" w:type="dxa"/>
              <w:bottom w:w="60" w:type="dxa"/>
              <w:left w:w="100" w:type="dxa"/>
              <w:right w:w="100" w:type="dxa"/>
            </w:tcMar>
            <w:shd w:fill="F8FAFC"/>
          </w:tcPr>
          <w:p>
            <w:r>
              <w:rPr>
                <w:b/>
                <w:sz w:val="20"/>
              </w:rPr>
              <w:t>UID</w:t>
            </w:r>
          </w:p>
        </w:tc>
        <w:tc>
          <w:tcPr>
            <w:tcW w:type="dxa" w:w="6768"/>
            <w:tcMar>
              <w:top w:w="60" w:type="dxa"/>
              <w:bottom w:w="60" w:type="dxa"/>
              <w:left w:w="100" w:type="dxa"/>
              <w:right w:w="100" w:type="dxa"/>
            </w:tcMar>
            <w:shd w:fill="F8FAFC"/>
          </w:tcPr>
          <w:p>
            <w:r>
              <w:rPr>
                <w:sz w:val="20"/>
              </w:rPr>
              <w:t>Unique Identification Number</w:t>
            </w:r>
          </w:p>
        </w:tc>
      </w:tr>
      <w:tr>
        <w:tc>
          <w:tcPr>
            <w:tcW w:type="dxa" w:w="2880"/>
            <w:tcMar>
              <w:top w:w="60" w:type="dxa"/>
              <w:bottom w:w="60" w:type="dxa"/>
              <w:left w:w="100" w:type="dxa"/>
              <w:right w:w="100" w:type="dxa"/>
            </w:tcMar>
          </w:tcPr>
          <w:p>
            <w:r>
              <w:rPr>
                <w:b/>
                <w:sz w:val="20"/>
              </w:rPr>
              <w:t>Vite</w:t>
            </w:r>
          </w:p>
        </w:tc>
        <w:tc>
          <w:tcPr>
            <w:tcW w:type="dxa" w:w="6768"/>
            <w:tcMar>
              <w:top w:w="60" w:type="dxa"/>
              <w:bottom w:w="60" w:type="dxa"/>
              <w:left w:w="100" w:type="dxa"/>
              <w:right w:w="100" w:type="dxa"/>
            </w:tcMar>
          </w:tcPr>
          <w:p>
            <w:r>
              <w:rPr>
                <w:sz w:val="20"/>
              </w:rPr>
              <w:t>Next Generation Frontend Tooling</w:t>
            </w:r>
          </w:p>
        </w:tc>
      </w:tr>
      <w:tr>
        <w:tc>
          <w:tcPr>
            <w:tcW w:type="dxa" w:w="2880"/>
            <w:tcMar>
              <w:top w:w="60" w:type="dxa"/>
              <w:bottom w:w="60" w:type="dxa"/>
              <w:left w:w="100" w:type="dxa"/>
              <w:right w:w="100" w:type="dxa"/>
            </w:tcMar>
            <w:shd w:fill="F8FAFC"/>
          </w:tcPr>
          <w:p>
            <w:r>
              <w:rPr>
                <w:b/>
                <w:sz w:val="20"/>
              </w:rPr>
              <w:t>WCAG</w:t>
            </w:r>
          </w:p>
        </w:tc>
        <w:tc>
          <w:tcPr>
            <w:tcW w:type="dxa" w:w="6768"/>
            <w:tcMar>
              <w:top w:w="60" w:type="dxa"/>
              <w:bottom w:w="60" w:type="dxa"/>
              <w:left w:w="100" w:type="dxa"/>
              <w:right w:w="100" w:type="dxa"/>
            </w:tcMar>
            <w:shd w:fill="F8FAFC"/>
          </w:tcPr>
          <w:p>
            <w:r>
              <w:rPr>
                <w:sz w:val="20"/>
              </w:rPr>
              <w:t>Web Content Accessibility Guidelines</w:t>
            </w:r>
          </w:p>
        </w:tc>
      </w:tr>
    </w:tbl>
    <w:p>
      <w:r>
        <w:br w:type="page"/>
      </w:r>
    </w:p>
    <w:p>
      <w:pPr>
        <w:spacing w:after="320"/>
        <w:jc w:val="center"/>
      </w:pPr>
      <w:r>
        <w:rPr>
          <w:rFonts w:ascii="Times New Roman" w:hAnsi="Times New Roman"/>
          <w:b/>
          <w:sz w:val="32"/>
        </w:rPr>
        <w:t>SYMBOLS</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tblBorders>
      </w:tblPr>
      <w:tblGrid>
        <w:gridCol w:w="3000"/>
        <w:gridCol w:w="3000"/>
        <w:gridCol w:w="3000"/>
      </w:tblGrid>
      <w:tr>
        <w:tc>
          <w:tcPr>
            <w:tcW w:type="dxa" w:w="2160"/>
            <w:shd w:fill="E2E8F0"/>
          </w:tcPr>
          <w:p>
            <w:pPr>
              <w:jc w:val="center"/>
            </w:pPr>
            <w:r>
              <w:rPr>
                <w:b/>
                <w:sz w:val="20"/>
              </w:rPr>
              <w:t>Symbol</w:t>
            </w:r>
          </w:p>
        </w:tc>
        <w:tc>
          <w:tcPr>
            <w:tcW w:type="dxa" w:w="5328"/>
            <w:shd w:fill="E2E8F0"/>
          </w:tcPr>
          <w:p>
            <w:pPr>
              <w:jc w:val="center"/>
            </w:pPr>
            <w:r>
              <w:rPr>
                <w:b/>
                <w:sz w:val="20"/>
              </w:rPr>
              <w:t>Mathematical / Physical Representation</w:t>
            </w:r>
          </w:p>
        </w:tc>
        <w:tc>
          <w:tcPr>
            <w:tcW w:type="dxa" w:w="2160"/>
            <w:shd w:fill="E2E8F0"/>
          </w:tcPr>
          <w:p>
            <w:pPr>
              <w:jc w:val="center"/>
            </w:pPr>
            <w:r>
              <w:rPr>
                <w:b/>
                <w:sz w:val="20"/>
              </w:rPr>
              <w:t>Units / Value</w:t>
            </w:r>
          </w:p>
        </w:tc>
      </w:tr>
      <w:tr>
        <w:tc>
          <w:tcPr>
            <w:tcW w:type="dxa" w:w="2160"/>
            <w:tcMar>
              <w:top w:w="60" w:type="dxa"/>
              <w:bottom w:w="60" w:type="dxa"/>
              <w:left w:w="100" w:type="dxa"/>
              <w:right w:w="100" w:type="dxa"/>
            </w:tcMar>
          </w:tcPr>
          <w:p>
            <w:pPr>
              <w:jc w:val="center"/>
            </w:pPr>
            <w:r>
              <w:rPr>
                <w:b/>
                <w:sz w:val="20"/>
              </w:rPr>
              <w:t>N</w:t>
            </w:r>
          </w:p>
        </w:tc>
        <w:tc>
          <w:tcPr>
            <w:tcW w:type="dxa" w:w="5328"/>
            <w:tcMar>
              <w:top w:w="60" w:type="dxa"/>
              <w:bottom w:w="60" w:type="dxa"/>
              <w:left w:w="100" w:type="dxa"/>
              <w:right w:w="100" w:type="dxa"/>
            </w:tcMar>
          </w:tcPr>
          <w:p>
            <w:pPr>
              <w:jc w:val="left"/>
            </w:pPr>
            <w:r>
              <w:rPr>
                <w:sz w:val="20"/>
              </w:rPr>
              <w:t>Total instances in the curated enterprise dataset</w:t>
            </w:r>
          </w:p>
        </w:tc>
        <w:tc>
          <w:tcPr>
            <w:tcW w:type="dxa" w:w="2160"/>
            <w:tcMar>
              <w:top w:w="60" w:type="dxa"/>
              <w:bottom w:w="60" w:type="dxa"/>
              <w:left w:w="100" w:type="dxa"/>
              <w:right w:w="100" w:type="dxa"/>
            </w:tcMar>
          </w:tcPr>
          <w:p>
            <w:pPr>
              <w:jc w:val="center"/>
            </w:pPr>
            <w:r>
              <w:rPr>
                <w:sz w:val="20"/>
              </w:rPr>
              <w:t>22,770 records</w:t>
            </w:r>
          </w:p>
        </w:tc>
      </w:tr>
      <w:tr>
        <w:tc>
          <w:tcPr>
            <w:tcW w:type="dxa" w:w="2160"/>
            <w:tcMar>
              <w:top w:w="60" w:type="dxa"/>
              <w:bottom w:w="60" w:type="dxa"/>
              <w:left w:w="100" w:type="dxa"/>
              <w:right w:w="100" w:type="dxa"/>
            </w:tcMar>
            <w:shd w:fill="F8FAFC"/>
          </w:tcPr>
          <w:p>
            <w:pPr>
              <w:jc w:val="center"/>
            </w:pPr>
            <w:r>
              <w:rPr>
                <w:b/>
                <w:sz w:val="20"/>
              </w:rPr>
              <w:t>n_test</w:t>
            </w:r>
          </w:p>
        </w:tc>
        <w:tc>
          <w:tcPr>
            <w:tcW w:type="dxa" w:w="5328"/>
            <w:tcMar>
              <w:top w:w="60" w:type="dxa"/>
              <w:bottom w:w="60" w:type="dxa"/>
              <w:left w:w="100" w:type="dxa"/>
              <w:right w:w="100" w:type="dxa"/>
            </w:tcMar>
            <w:shd w:fill="F8FAFC"/>
          </w:tcPr>
          <w:p>
            <w:pPr>
              <w:jc w:val="left"/>
            </w:pPr>
            <w:r>
              <w:rPr>
                <w:sz w:val="20"/>
              </w:rPr>
              <w:t>Cardinality of the held-out validation test split</w:t>
            </w:r>
          </w:p>
        </w:tc>
        <w:tc>
          <w:tcPr>
            <w:tcW w:type="dxa" w:w="2160"/>
            <w:tcMar>
              <w:top w:w="60" w:type="dxa"/>
              <w:bottom w:w="60" w:type="dxa"/>
              <w:left w:w="100" w:type="dxa"/>
              <w:right w:w="100" w:type="dxa"/>
            </w:tcMar>
            <w:shd w:fill="F8FAFC"/>
          </w:tcPr>
          <w:p>
            <w:pPr>
              <w:jc w:val="center"/>
            </w:pPr>
            <w:r>
              <w:rPr>
                <w:sz w:val="20"/>
              </w:rPr>
              <w:t>4,554 records (20%)</w:t>
            </w:r>
          </w:p>
        </w:tc>
      </w:tr>
      <w:tr>
        <w:tc>
          <w:tcPr>
            <w:tcW w:type="dxa" w:w="2160"/>
            <w:tcMar>
              <w:top w:w="60" w:type="dxa"/>
              <w:bottom w:w="60" w:type="dxa"/>
              <w:left w:w="100" w:type="dxa"/>
              <w:right w:w="100" w:type="dxa"/>
            </w:tcMar>
          </w:tcPr>
          <w:p>
            <w:pPr>
              <w:jc w:val="center"/>
            </w:pPr>
            <w:r>
              <w:rPr>
                <w:b/>
                <w:sz w:val="20"/>
              </w:rPr>
              <w:t>y_i</w:t>
            </w:r>
          </w:p>
        </w:tc>
        <w:tc>
          <w:tcPr>
            <w:tcW w:type="dxa" w:w="5328"/>
            <w:tcMar>
              <w:top w:w="60" w:type="dxa"/>
              <w:bottom w:w="60" w:type="dxa"/>
              <w:left w:w="100" w:type="dxa"/>
              <w:right w:w="100" w:type="dxa"/>
            </w:tcMar>
          </w:tcPr>
          <w:p>
            <w:pPr>
              <w:jc w:val="left"/>
            </w:pPr>
            <w:r>
              <w:rPr>
                <w:sz w:val="20"/>
              </w:rPr>
              <w:t>Observed Ground Truth annual salary increment percentage</w:t>
            </w:r>
          </w:p>
        </w:tc>
        <w:tc>
          <w:tcPr>
            <w:tcW w:type="dxa" w:w="2160"/>
            <w:tcMar>
              <w:top w:w="60" w:type="dxa"/>
              <w:bottom w:w="60" w:type="dxa"/>
              <w:left w:w="100" w:type="dxa"/>
              <w:right w:w="100" w:type="dxa"/>
            </w:tcMar>
          </w:tcPr>
          <w:p>
            <w:pPr>
              <w:jc w:val="center"/>
            </w:pPr>
            <w:r>
              <w:rPr>
                <w:sz w:val="20"/>
              </w:rPr>
              <w:t>Percentage (%)</w:t>
            </w:r>
          </w:p>
        </w:tc>
      </w:tr>
      <w:tr>
        <w:tc>
          <w:tcPr>
            <w:tcW w:type="dxa" w:w="2160"/>
            <w:tcMar>
              <w:top w:w="60" w:type="dxa"/>
              <w:bottom w:w="60" w:type="dxa"/>
              <w:left w:w="100" w:type="dxa"/>
              <w:right w:w="100" w:type="dxa"/>
            </w:tcMar>
            <w:shd w:fill="F8FAFC"/>
          </w:tcPr>
          <w:p>
            <w:pPr>
              <w:jc w:val="center"/>
            </w:pPr>
            <w:r>
              <w:rPr>
                <w:b/>
                <w:sz w:val="20"/>
              </w:rPr>
              <w:t>ŷ_i</w:t>
            </w:r>
          </w:p>
        </w:tc>
        <w:tc>
          <w:tcPr>
            <w:tcW w:type="dxa" w:w="5328"/>
            <w:tcMar>
              <w:top w:w="60" w:type="dxa"/>
              <w:bottom w:w="60" w:type="dxa"/>
              <w:left w:w="100" w:type="dxa"/>
              <w:right w:w="100" w:type="dxa"/>
            </w:tcMar>
            <w:shd w:fill="F8FAFC"/>
          </w:tcPr>
          <w:p>
            <w:pPr>
              <w:jc w:val="left"/>
            </w:pPr>
            <w:r>
              <w:rPr>
                <w:sz w:val="20"/>
              </w:rPr>
              <w:t>Algorithmic model prediction for increment percentage</w:t>
            </w:r>
          </w:p>
        </w:tc>
        <w:tc>
          <w:tcPr>
            <w:tcW w:type="dxa" w:w="2160"/>
            <w:tcMar>
              <w:top w:w="60" w:type="dxa"/>
              <w:bottom w:w="60" w:type="dxa"/>
              <w:left w:w="100" w:type="dxa"/>
              <w:right w:w="100" w:type="dxa"/>
            </w:tcMar>
            <w:shd w:fill="F8FAFC"/>
          </w:tcPr>
          <w:p>
            <w:pPr>
              <w:jc w:val="center"/>
            </w:pPr>
            <w:r>
              <w:rPr>
                <w:sz w:val="20"/>
              </w:rPr>
              <w:t>Percentage (%)</w:t>
            </w:r>
          </w:p>
        </w:tc>
      </w:tr>
      <w:tr>
        <w:tc>
          <w:tcPr>
            <w:tcW w:type="dxa" w:w="2160"/>
            <w:tcMar>
              <w:top w:w="60" w:type="dxa"/>
              <w:bottom w:w="60" w:type="dxa"/>
              <w:left w:w="100" w:type="dxa"/>
              <w:right w:w="100" w:type="dxa"/>
            </w:tcMar>
          </w:tcPr>
          <w:p>
            <w:pPr>
              <w:jc w:val="center"/>
            </w:pPr>
            <w:r>
              <w:rPr>
                <w:b/>
                <w:sz w:val="20"/>
              </w:rPr>
              <w:t>ȳ</w:t>
            </w:r>
          </w:p>
        </w:tc>
        <w:tc>
          <w:tcPr>
            <w:tcW w:type="dxa" w:w="5328"/>
            <w:tcMar>
              <w:top w:w="60" w:type="dxa"/>
              <w:bottom w:w="60" w:type="dxa"/>
              <w:left w:w="100" w:type="dxa"/>
              <w:right w:w="100" w:type="dxa"/>
            </w:tcMar>
          </w:tcPr>
          <w:p>
            <w:pPr>
              <w:jc w:val="left"/>
            </w:pPr>
            <w:r>
              <w:rPr>
                <w:sz w:val="20"/>
              </w:rPr>
              <w:t>Arithmetic mean of observed increment ground truth values</w:t>
            </w:r>
          </w:p>
        </w:tc>
        <w:tc>
          <w:tcPr>
            <w:tcW w:type="dxa" w:w="2160"/>
            <w:tcMar>
              <w:top w:w="60" w:type="dxa"/>
              <w:bottom w:w="60" w:type="dxa"/>
              <w:left w:w="100" w:type="dxa"/>
              <w:right w:w="100" w:type="dxa"/>
            </w:tcMar>
          </w:tcPr>
          <w:p>
            <w:pPr>
              <w:jc w:val="center"/>
            </w:pPr>
            <w:r>
              <w:rPr>
                <w:sz w:val="20"/>
              </w:rPr>
              <w:t>Percentage (%)</w:t>
            </w:r>
          </w:p>
        </w:tc>
      </w:tr>
      <w:tr>
        <w:tc>
          <w:tcPr>
            <w:tcW w:type="dxa" w:w="2160"/>
            <w:tcMar>
              <w:top w:w="60" w:type="dxa"/>
              <w:bottom w:w="60" w:type="dxa"/>
              <w:left w:w="100" w:type="dxa"/>
              <w:right w:w="100" w:type="dxa"/>
            </w:tcMar>
            <w:shd w:fill="F8FAFC"/>
          </w:tcPr>
          <w:p>
            <w:pPr>
              <w:jc w:val="center"/>
            </w:pPr>
            <w:r>
              <w:rPr>
                <w:b/>
                <w:sz w:val="20"/>
              </w:rPr>
              <w:t>β_j</w:t>
            </w:r>
          </w:p>
        </w:tc>
        <w:tc>
          <w:tcPr>
            <w:tcW w:type="dxa" w:w="5328"/>
            <w:tcMar>
              <w:top w:w="60" w:type="dxa"/>
              <w:bottom w:w="60" w:type="dxa"/>
              <w:left w:w="100" w:type="dxa"/>
              <w:right w:w="100" w:type="dxa"/>
            </w:tcMar>
            <w:shd w:fill="F8FAFC"/>
          </w:tcPr>
          <w:p>
            <w:pPr>
              <w:jc w:val="left"/>
            </w:pPr>
            <w:r>
              <w:rPr>
                <w:sz w:val="20"/>
              </w:rPr>
              <w:t>Ordinary Least Squares regression coefficient weights</w:t>
            </w:r>
          </w:p>
        </w:tc>
        <w:tc>
          <w:tcPr>
            <w:tcW w:type="dxa" w:w="2160"/>
            <w:tcMar>
              <w:top w:w="60" w:type="dxa"/>
              <w:bottom w:w="60" w:type="dxa"/>
              <w:left w:w="100" w:type="dxa"/>
              <w:right w:w="100" w:type="dxa"/>
            </w:tcMar>
            <w:shd w:fill="F8FAFC"/>
          </w:tcPr>
          <w:p>
            <w:pPr>
              <w:jc w:val="center"/>
            </w:pPr>
            <w:r>
              <w:rPr>
                <w:sz w:val="20"/>
              </w:rPr>
              <w:t>Dimensionless vector</w:t>
            </w:r>
          </w:p>
        </w:tc>
      </w:tr>
      <w:tr>
        <w:tc>
          <w:tcPr>
            <w:tcW w:type="dxa" w:w="2160"/>
            <w:tcMar>
              <w:top w:w="60" w:type="dxa"/>
              <w:bottom w:w="60" w:type="dxa"/>
              <w:left w:w="100" w:type="dxa"/>
              <w:right w:w="100" w:type="dxa"/>
            </w:tcMar>
          </w:tcPr>
          <w:p>
            <w:pPr>
              <w:jc w:val="center"/>
            </w:pPr>
            <w:r>
              <w:rPr>
                <w:b/>
                <w:sz w:val="20"/>
              </w:rPr>
              <w:t>η</w:t>
            </w:r>
          </w:p>
        </w:tc>
        <w:tc>
          <w:tcPr>
            <w:tcW w:type="dxa" w:w="5328"/>
            <w:tcMar>
              <w:top w:w="60" w:type="dxa"/>
              <w:bottom w:w="60" w:type="dxa"/>
              <w:left w:w="100" w:type="dxa"/>
              <w:right w:w="100" w:type="dxa"/>
            </w:tcMar>
          </w:tcPr>
          <w:p>
            <w:pPr>
              <w:jc w:val="left"/>
            </w:pPr>
            <w:r>
              <w:rPr>
                <w:sz w:val="20"/>
              </w:rPr>
              <w:t>Gradient Boosting shrinkage parameter / learning rate</w:t>
            </w:r>
          </w:p>
        </w:tc>
        <w:tc>
          <w:tcPr>
            <w:tcW w:type="dxa" w:w="2160"/>
            <w:tcMar>
              <w:top w:w="60" w:type="dxa"/>
              <w:bottom w:w="60" w:type="dxa"/>
              <w:left w:w="100" w:type="dxa"/>
              <w:right w:w="100" w:type="dxa"/>
            </w:tcMar>
          </w:tcPr>
          <w:p>
            <w:pPr>
              <w:jc w:val="center"/>
            </w:pPr>
            <w:r>
              <w:rPr>
                <w:sz w:val="20"/>
              </w:rPr>
              <w:t>0.08</w:t>
            </w:r>
          </w:p>
        </w:tc>
      </w:tr>
      <w:tr>
        <w:tc>
          <w:tcPr>
            <w:tcW w:type="dxa" w:w="2160"/>
            <w:tcMar>
              <w:top w:w="60" w:type="dxa"/>
              <w:bottom w:w="60" w:type="dxa"/>
              <w:left w:w="100" w:type="dxa"/>
              <w:right w:w="100" w:type="dxa"/>
            </w:tcMar>
            <w:shd w:fill="F8FAFC"/>
          </w:tcPr>
          <w:p>
            <w:pPr>
              <w:jc w:val="center"/>
            </w:pPr>
            <w:r>
              <w:rPr>
                <w:b/>
                <w:sz w:val="20"/>
              </w:rPr>
              <w:t>M</w:t>
            </w:r>
          </w:p>
        </w:tc>
        <w:tc>
          <w:tcPr>
            <w:tcW w:type="dxa" w:w="5328"/>
            <w:tcMar>
              <w:top w:w="60" w:type="dxa"/>
              <w:bottom w:w="60" w:type="dxa"/>
              <w:left w:w="100" w:type="dxa"/>
              <w:right w:w="100" w:type="dxa"/>
            </w:tcMar>
            <w:shd w:fill="F8FAFC"/>
          </w:tcPr>
          <w:p>
            <w:pPr>
              <w:jc w:val="left"/>
            </w:pPr>
            <w:r>
              <w:rPr>
                <w:sz w:val="20"/>
              </w:rPr>
              <w:t>Total sequential boosting iterations / decision tree estimators</w:t>
            </w:r>
          </w:p>
        </w:tc>
        <w:tc>
          <w:tcPr>
            <w:tcW w:type="dxa" w:w="2160"/>
            <w:tcMar>
              <w:top w:w="60" w:type="dxa"/>
              <w:bottom w:w="60" w:type="dxa"/>
              <w:left w:w="100" w:type="dxa"/>
              <w:right w:w="100" w:type="dxa"/>
            </w:tcMar>
            <w:shd w:fill="F8FAFC"/>
          </w:tcPr>
          <w:p>
            <w:pPr>
              <w:jc w:val="center"/>
            </w:pPr>
            <w:r>
              <w:rPr>
                <w:sz w:val="20"/>
              </w:rPr>
              <w:t>150 trees</w:t>
            </w:r>
          </w:p>
        </w:tc>
      </w:tr>
      <w:tr>
        <w:tc>
          <w:tcPr>
            <w:tcW w:type="dxa" w:w="2160"/>
            <w:tcMar>
              <w:top w:w="60" w:type="dxa"/>
              <w:bottom w:w="60" w:type="dxa"/>
              <w:left w:w="100" w:type="dxa"/>
              <w:right w:w="100" w:type="dxa"/>
            </w:tcMar>
          </w:tcPr>
          <w:p>
            <w:pPr>
              <w:jc w:val="center"/>
            </w:pPr>
            <w:r>
              <w:rPr>
                <w:b/>
                <w:sz w:val="20"/>
              </w:rPr>
              <w:t>d_max</w:t>
            </w:r>
          </w:p>
        </w:tc>
        <w:tc>
          <w:tcPr>
            <w:tcW w:type="dxa" w:w="5328"/>
            <w:tcMar>
              <w:top w:w="60" w:type="dxa"/>
              <w:bottom w:w="60" w:type="dxa"/>
              <w:left w:w="100" w:type="dxa"/>
              <w:right w:w="100" w:type="dxa"/>
            </w:tcMar>
          </w:tcPr>
          <w:p>
            <w:pPr>
              <w:jc w:val="left"/>
            </w:pPr>
            <w:r>
              <w:rPr>
                <w:sz w:val="20"/>
              </w:rPr>
              <w:t>Maximum allowable tree depth per boosting weak learner</w:t>
            </w:r>
          </w:p>
        </w:tc>
        <w:tc>
          <w:tcPr>
            <w:tcW w:type="dxa" w:w="2160"/>
            <w:tcMar>
              <w:top w:w="60" w:type="dxa"/>
              <w:bottom w:w="60" w:type="dxa"/>
              <w:left w:w="100" w:type="dxa"/>
              <w:right w:w="100" w:type="dxa"/>
            </w:tcMar>
          </w:tcPr>
          <w:p>
            <w:pPr>
              <w:jc w:val="center"/>
            </w:pPr>
            <w:r>
              <w:rPr>
                <w:sz w:val="20"/>
              </w:rPr>
              <w:t>4 levels</w:t>
            </w:r>
          </w:p>
        </w:tc>
      </w:tr>
      <w:tr>
        <w:tc>
          <w:tcPr>
            <w:tcW w:type="dxa" w:w="2160"/>
            <w:tcMar>
              <w:top w:w="60" w:type="dxa"/>
              <w:bottom w:w="60" w:type="dxa"/>
              <w:left w:w="100" w:type="dxa"/>
              <w:right w:w="100" w:type="dxa"/>
            </w:tcMar>
            <w:shd w:fill="F8FAFC"/>
          </w:tcPr>
          <w:p>
            <w:pPr>
              <w:jc w:val="center"/>
            </w:pPr>
            <w:r>
              <w:rPr>
                <w:b/>
                <w:sz w:val="20"/>
              </w:rPr>
              <w:t>R²</w:t>
            </w:r>
          </w:p>
        </w:tc>
        <w:tc>
          <w:tcPr>
            <w:tcW w:type="dxa" w:w="5328"/>
            <w:tcMar>
              <w:top w:w="60" w:type="dxa"/>
              <w:bottom w:w="60" w:type="dxa"/>
              <w:left w:w="100" w:type="dxa"/>
              <w:right w:w="100" w:type="dxa"/>
            </w:tcMar>
            <w:shd w:fill="F8FAFC"/>
          </w:tcPr>
          <w:p>
            <w:pPr>
              <w:jc w:val="left"/>
            </w:pPr>
            <w:r>
              <w:rPr>
                <w:sz w:val="20"/>
              </w:rPr>
              <w:t>Coefficient of Determination (variance explained)</w:t>
            </w:r>
          </w:p>
        </w:tc>
        <w:tc>
          <w:tcPr>
            <w:tcW w:type="dxa" w:w="2160"/>
            <w:tcMar>
              <w:top w:w="60" w:type="dxa"/>
              <w:bottom w:w="60" w:type="dxa"/>
              <w:left w:w="100" w:type="dxa"/>
              <w:right w:w="100" w:type="dxa"/>
            </w:tcMar>
            <w:shd w:fill="F8FAFC"/>
          </w:tcPr>
          <w:p>
            <w:pPr>
              <w:jc w:val="center"/>
            </w:pPr>
            <w:r>
              <w:rPr>
                <w:sz w:val="20"/>
              </w:rPr>
              <w:t>Dimensionless (-∞ &lt; R² ≤ 1)</w:t>
            </w:r>
          </w:p>
        </w:tc>
      </w:tr>
      <w:tr>
        <w:tc>
          <w:tcPr>
            <w:tcW w:type="dxa" w:w="2160"/>
            <w:tcMar>
              <w:top w:w="60" w:type="dxa"/>
              <w:bottom w:w="60" w:type="dxa"/>
              <w:left w:w="100" w:type="dxa"/>
              <w:right w:w="100" w:type="dxa"/>
            </w:tcMar>
          </w:tcPr>
          <w:p>
            <w:pPr>
              <w:jc w:val="center"/>
            </w:pPr>
            <w:r>
              <w:rPr>
                <w:b/>
                <w:sz w:val="20"/>
              </w:rPr>
              <w:t>RMSE</w:t>
            </w:r>
          </w:p>
        </w:tc>
        <w:tc>
          <w:tcPr>
            <w:tcW w:type="dxa" w:w="5328"/>
            <w:tcMar>
              <w:top w:w="60" w:type="dxa"/>
              <w:bottom w:w="60" w:type="dxa"/>
              <w:left w:w="100" w:type="dxa"/>
              <w:right w:w="100" w:type="dxa"/>
            </w:tcMar>
          </w:tcPr>
          <w:p>
            <w:pPr>
              <w:jc w:val="left"/>
            </w:pPr>
            <w:r>
              <w:rPr>
                <w:sz w:val="20"/>
              </w:rPr>
              <w:t>Root Mean Squared Error</w:t>
            </w:r>
          </w:p>
        </w:tc>
        <w:tc>
          <w:tcPr>
            <w:tcW w:type="dxa" w:w="2160"/>
            <w:tcMar>
              <w:top w:w="60" w:type="dxa"/>
              <w:bottom w:w="60" w:type="dxa"/>
              <w:left w:w="100" w:type="dxa"/>
              <w:right w:w="100" w:type="dxa"/>
            </w:tcMar>
          </w:tcPr>
          <w:p>
            <w:pPr>
              <w:jc w:val="center"/>
            </w:pPr>
            <w:r>
              <w:rPr>
                <w:sz w:val="20"/>
              </w:rPr>
              <w:t>Percentage (%)</w:t>
            </w:r>
          </w:p>
        </w:tc>
      </w:tr>
      <w:tr>
        <w:tc>
          <w:tcPr>
            <w:tcW w:type="dxa" w:w="2160"/>
            <w:tcMar>
              <w:top w:w="60" w:type="dxa"/>
              <w:bottom w:w="60" w:type="dxa"/>
              <w:left w:w="100" w:type="dxa"/>
              <w:right w:w="100" w:type="dxa"/>
            </w:tcMar>
            <w:shd w:fill="F8FAFC"/>
          </w:tcPr>
          <w:p>
            <w:pPr>
              <w:jc w:val="center"/>
            </w:pPr>
            <w:r>
              <w:rPr>
                <w:b/>
                <w:sz w:val="20"/>
              </w:rPr>
              <w:t>MAE</w:t>
            </w:r>
          </w:p>
        </w:tc>
        <w:tc>
          <w:tcPr>
            <w:tcW w:type="dxa" w:w="5328"/>
            <w:tcMar>
              <w:top w:w="60" w:type="dxa"/>
              <w:bottom w:w="60" w:type="dxa"/>
              <w:left w:w="100" w:type="dxa"/>
              <w:right w:w="100" w:type="dxa"/>
            </w:tcMar>
            <w:shd w:fill="F8FAFC"/>
          </w:tcPr>
          <w:p>
            <w:pPr>
              <w:jc w:val="left"/>
            </w:pPr>
            <w:r>
              <w:rPr>
                <w:sz w:val="20"/>
              </w:rPr>
              <w:t>Mean Absolute Error</w:t>
            </w:r>
          </w:p>
        </w:tc>
        <w:tc>
          <w:tcPr>
            <w:tcW w:type="dxa" w:w="2160"/>
            <w:tcMar>
              <w:top w:w="60" w:type="dxa"/>
              <w:bottom w:w="60" w:type="dxa"/>
              <w:left w:w="100" w:type="dxa"/>
              <w:right w:w="100" w:type="dxa"/>
            </w:tcMar>
            <w:shd w:fill="F8FAFC"/>
          </w:tcPr>
          <w:p>
            <w:pPr>
              <w:jc w:val="center"/>
            </w:pPr>
            <w:r>
              <w:rPr>
                <w:sz w:val="20"/>
              </w:rPr>
              <w:t>Percentage (%)</w:t>
            </w:r>
          </w:p>
        </w:tc>
      </w:tr>
      <w:tr>
        <w:tc>
          <w:tcPr>
            <w:tcW w:type="dxa" w:w="2160"/>
            <w:tcMar>
              <w:top w:w="60" w:type="dxa"/>
              <w:bottom w:w="60" w:type="dxa"/>
              <w:left w:w="100" w:type="dxa"/>
              <w:right w:w="100" w:type="dxa"/>
            </w:tcMar>
          </w:tcPr>
          <w:p>
            <w:pPr>
              <w:jc w:val="center"/>
            </w:pPr>
            <w:r>
              <w:rPr>
                <w:b/>
                <w:sz w:val="20"/>
              </w:rPr>
              <w:t>S_curr</w:t>
            </w:r>
          </w:p>
        </w:tc>
        <w:tc>
          <w:tcPr>
            <w:tcW w:type="dxa" w:w="5328"/>
            <w:tcMar>
              <w:top w:w="60" w:type="dxa"/>
              <w:bottom w:w="60" w:type="dxa"/>
              <w:left w:w="100" w:type="dxa"/>
              <w:right w:w="100" w:type="dxa"/>
            </w:tcMar>
          </w:tcPr>
          <w:p>
            <w:pPr>
              <w:jc w:val="left"/>
            </w:pPr>
            <w:r>
              <w:rPr>
                <w:sz w:val="20"/>
              </w:rPr>
              <w:t>Current annual base salary of the candidate employee</w:t>
            </w:r>
          </w:p>
        </w:tc>
        <w:tc>
          <w:tcPr>
            <w:tcW w:type="dxa" w:w="2160"/>
            <w:tcMar>
              <w:top w:w="60" w:type="dxa"/>
              <w:bottom w:w="60" w:type="dxa"/>
              <w:left w:w="100" w:type="dxa"/>
              <w:right w:w="100" w:type="dxa"/>
            </w:tcMar>
          </w:tcPr>
          <w:p>
            <w:pPr>
              <w:jc w:val="center"/>
            </w:pPr>
            <w:r>
              <w:rPr>
                <w:sz w:val="20"/>
              </w:rPr>
              <w:t>Indian Rupees (INR ₹)</w:t>
            </w:r>
          </w:p>
        </w:tc>
      </w:tr>
      <w:tr>
        <w:tc>
          <w:tcPr>
            <w:tcW w:type="dxa" w:w="2160"/>
            <w:tcMar>
              <w:top w:w="60" w:type="dxa"/>
              <w:bottom w:w="60" w:type="dxa"/>
              <w:left w:w="100" w:type="dxa"/>
              <w:right w:w="100" w:type="dxa"/>
            </w:tcMar>
            <w:shd w:fill="F8FAFC"/>
          </w:tcPr>
          <w:p>
            <w:pPr>
              <w:jc w:val="center"/>
            </w:pPr>
            <w:r>
              <w:rPr>
                <w:b/>
                <w:sz w:val="20"/>
              </w:rPr>
              <w:t>S_proj</w:t>
            </w:r>
          </w:p>
        </w:tc>
        <w:tc>
          <w:tcPr>
            <w:tcW w:type="dxa" w:w="5328"/>
            <w:tcMar>
              <w:top w:w="60" w:type="dxa"/>
              <w:bottom w:w="60" w:type="dxa"/>
              <w:left w:w="100" w:type="dxa"/>
              <w:right w:w="100" w:type="dxa"/>
            </w:tcMar>
            <w:shd w:fill="F8FAFC"/>
          </w:tcPr>
          <w:p>
            <w:pPr>
              <w:jc w:val="left"/>
            </w:pPr>
            <w:r>
              <w:rPr>
                <w:sz w:val="20"/>
              </w:rPr>
              <w:t>Algorithmic projected revised base salary after appraisal</w:t>
            </w:r>
          </w:p>
        </w:tc>
        <w:tc>
          <w:tcPr>
            <w:tcW w:type="dxa" w:w="2160"/>
            <w:tcMar>
              <w:top w:w="60" w:type="dxa"/>
              <w:bottom w:w="60" w:type="dxa"/>
              <w:left w:w="100" w:type="dxa"/>
              <w:right w:w="100" w:type="dxa"/>
            </w:tcMar>
            <w:shd w:fill="F8FAFC"/>
          </w:tcPr>
          <w:p>
            <w:pPr>
              <w:jc w:val="center"/>
            </w:pPr>
            <w:r>
              <w:rPr>
                <w:sz w:val="20"/>
              </w:rPr>
              <w:t>Indian Rupees (INR ₹)</w:t>
            </w:r>
          </w:p>
        </w:tc>
      </w:tr>
      <w:tr>
        <w:tc>
          <w:tcPr>
            <w:tcW w:type="dxa" w:w="2160"/>
            <w:tcMar>
              <w:top w:w="60" w:type="dxa"/>
              <w:bottom w:w="60" w:type="dxa"/>
              <w:left w:w="100" w:type="dxa"/>
              <w:right w:w="100" w:type="dxa"/>
            </w:tcMar>
          </w:tcPr>
          <w:p>
            <w:pPr>
              <w:jc w:val="center"/>
            </w:pPr>
            <w:r>
              <w:rPr>
                <w:b/>
                <w:sz w:val="20"/>
              </w:rPr>
              <w:t>ΔS</w:t>
            </w:r>
          </w:p>
        </w:tc>
        <w:tc>
          <w:tcPr>
            <w:tcW w:type="dxa" w:w="5328"/>
            <w:tcMar>
              <w:top w:w="60" w:type="dxa"/>
              <w:bottom w:w="60" w:type="dxa"/>
              <w:left w:w="100" w:type="dxa"/>
              <w:right w:w="100" w:type="dxa"/>
            </w:tcMar>
          </w:tcPr>
          <w:p>
            <w:pPr>
              <w:jc w:val="left"/>
            </w:pPr>
            <w:r>
              <w:rPr>
                <w:sz w:val="20"/>
              </w:rPr>
              <w:t>Absolute incremental monetary revision delta</w:t>
            </w:r>
          </w:p>
        </w:tc>
        <w:tc>
          <w:tcPr>
            <w:tcW w:type="dxa" w:w="2160"/>
            <w:tcMar>
              <w:top w:w="60" w:type="dxa"/>
              <w:bottom w:w="60" w:type="dxa"/>
              <w:left w:w="100" w:type="dxa"/>
              <w:right w:w="100" w:type="dxa"/>
            </w:tcMar>
          </w:tcPr>
          <w:p>
            <w:pPr>
              <w:jc w:val="center"/>
            </w:pPr>
            <w:r>
              <w:rPr>
                <w:sz w:val="20"/>
              </w:rPr>
              <w:t>Indian Rupees (INR ₹)</w:t>
            </w:r>
          </w:p>
        </w:tc>
      </w:tr>
      <w:tr>
        <w:tc>
          <w:tcPr>
            <w:tcW w:type="dxa" w:w="2160"/>
            <w:tcMar>
              <w:top w:w="60" w:type="dxa"/>
              <w:bottom w:w="60" w:type="dxa"/>
              <w:left w:w="100" w:type="dxa"/>
              <w:right w:w="100" w:type="dxa"/>
            </w:tcMar>
            <w:shd w:fill="F8FAFC"/>
          </w:tcPr>
          <w:p>
            <w:pPr>
              <w:jc w:val="center"/>
            </w:pPr>
            <w:r>
              <w:rPr>
                <w:b/>
                <w:sz w:val="20"/>
              </w:rPr>
              <w:t>I_G(f)</w:t>
            </w:r>
          </w:p>
        </w:tc>
        <w:tc>
          <w:tcPr>
            <w:tcW w:type="dxa" w:w="5328"/>
            <w:tcMar>
              <w:top w:w="60" w:type="dxa"/>
              <w:bottom w:w="60" w:type="dxa"/>
              <w:left w:w="100" w:type="dxa"/>
              <w:right w:w="100" w:type="dxa"/>
            </w:tcMar>
            <w:shd w:fill="F8FAFC"/>
          </w:tcPr>
          <w:p>
            <w:pPr>
              <w:jc w:val="left"/>
            </w:pPr>
            <w:r>
              <w:rPr>
                <w:sz w:val="20"/>
              </w:rPr>
              <w:t>Normalized Gini impurity feature importance contribution</w:t>
            </w:r>
          </w:p>
        </w:tc>
        <w:tc>
          <w:tcPr>
            <w:tcW w:type="dxa" w:w="2160"/>
            <w:tcMar>
              <w:top w:w="60" w:type="dxa"/>
              <w:bottom w:w="60" w:type="dxa"/>
              <w:left w:w="100" w:type="dxa"/>
              <w:right w:w="100" w:type="dxa"/>
            </w:tcMar>
            <w:shd w:fill="F8FAFC"/>
          </w:tcPr>
          <w:p>
            <w:pPr>
              <w:jc w:val="center"/>
            </w:pPr>
            <w:r>
              <w:rPr>
                <w:sz w:val="20"/>
              </w:rPr>
              <w:t>Percentage (0 - 100%)</w:t>
            </w:r>
          </w:p>
        </w:tc>
      </w:tr>
    </w:tbl>
    <w:p>
      <w:r>
        <w:br w:type="page"/>
      </w:r>
    </w:p>
    <w:p>
      <w:pPr>
        <w:spacing w:before="240" w:after="240"/>
        <w:jc w:val="left"/>
      </w:pPr>
      <w:r>
        <w:rPr>
          <w:rFonts w:ascii="Times New Roman" w:hAnsi="Times New Roman"/>
          <w:b/>
          <w:sz w:val="32"/>
        </w:rPr>
        <w:t>CHAPTER 1. INTRODUCTION</w:t>
      </w:r>
    </w:p>
    <w:p>
      <w:pPr>
        <w:spacing w:before="240" w:after="120"/>
        <w:jc w:val="left"/>
      </w:pPr>
      <w:r>
        <w:rPr>
          <w:rFonts w:ascii="Times New Roman" w:hAnsi="Times New Roman"/>
          <w:b/>
          <w:sz w:val="26"/>
        </w:rPr>
        <w:t>1.1 Identification of Client / Need / Relevant Contemporary Issue</w:t>
      </w:r>
    </w:p>
    <w:p>
      <w:pPr>
        <w:spacing w:line="360" w:lineRule="auto" w:after="160"/>
        <w:jc w:val="both"/>
      </w:pPr>
      <w:r>
        <w:rPr>
          <w:rFonts w:ascii="Times New Roman" w:hAnsi="Times New Roman"/>
          <w:sz w:val="24"/>
        </w:rPr>
        <w:t>Human capital represents the single most decisive competitive advantage in high-technology and software-intensive industries. In technology corporations, annual compensation appraisal cycles and salary increment decisions are critical operations that dictate talent retention, employee morale, cultural alignment, and corporate operating margins. Each fiscal year, enterprise leadership allocates tens of millions of dollars to increment pools, seeking to balance fiscal prudence with the retention of high-impact engineering professionals.</w:t>
      </w:r>
    </w:p>
    <w:p>
      <w:pPr>
        <w:spacing w:line="360" w:lineRule="auto" w:after="160"/>
        <w:jc w:val="both"/>
      </w:pPr>
      <w:r>
        <w:rPr>
          <w:rFonts w:ascii="Times New Roman" w:hAnsi="Times New Roman"/>
          <w:sz w:val="24"/>
        </w:rPr>
        <w:t>Despite the paramount strategic significance of compensation management, contemporary corporate practice is characterized by profound systemic deficiencies. Empirical research published by the Gartner HR Global Talent Monitor (2024) reveals that 68% of voluntary tech departures are directly triggered by perceived unfairness, opacity, and unpredictability in annual salary increment determinations. Furthermore, replacing a specialized software engineer incurs an enterprise cost exceeding 150% to 200% of the employee's annual salary when factoring in headhunter retainers, lost engineering output, and multi-month ramp-up latencies. Over 74% of enterprise HR leaders concede that current compensation planning remains confined to subjective managerial discretion and disconnected spreadsheets.</w:t>
      </w:r>
    </w:p>
    <w:p>
      <w:pPr>
        <w:spacing w:line="360" w:lineRule="auto" w:after="160"/>
        <w:jc w:val="both"/>
      </w:pPr>
      <w:r>
        <w:rPr>
          <w:rFonts w:ascii="Times New Roman" w:hAnsi="Times New Roman"/>
          <w:sz w:val="24"/>
        </w:rPr>
        <w:t>The primary client for this engineering solution comprises Enterprise Human Resource Departments, Total Rewards Directors, Compensation Committees, and Engineering People Managers across medium-to-large technology enterprises. These stakeholders require an objective, standardized, and statistically validated system capable of evaluating candidate profiles across multidimensional variables—including industry tenure, verified performance ratings, existing compensation baselines, functional roles, and regional cost-of-living tiers.</w:t>
      </w:r>
    </w:p>
    <w:p>
      <w:pPr>
        <w:spacing w:line="360" w:lineRule="auto" w:after="160"/>
        <w:jc w:val="both"/>
      </w:pPr>
      <w:r>
        <w:rPr>
          <w:rFonts w:ascii="Times New Roman" w:hAnsi="Times New Roman"/>
          <w:sz w:val="24"/>
        </w:rPr>
        <w:t>The contemporary relevance of this challenge is further reinforced by global regulatory frameworks, including the EU Pay Transparency Directive (2023) and US Equal Employment Opportunity Commission (EEOC) mandates. These statutory directives require corporations to demonstrate objective, non-discriminatory, and explainable criteria behind compensation adjustments. AURA Predictor directly addresses this mandate by delivering an auditable, data-driven decision support framework.</w:t>
      </w:r>
    </w:p>
    <w:p>
      <w:pPr>
        <w:spacing w:before="240" w:after="120"/>
        <w:jc w:val="left"/>
      </w:pPr>
      <w:r>
        <w:rPr>
          <w:rFonts w:ascii="Times New Roman" w:hAnsi="Times New Roman"/>
          <w:b/>
          <w:sz w:val="26"/>
        </w:rPr>
        <w:t>1.2 Identification of Problem</w:t>
      </w:r>
    </w:p>
    <w:p>
      <w:pPr>
        <w:spacing w:line="360" w:lineRule="auto" w:after="160"/>
        <w:jc w:val="both"/>
      </w:pPr>
      <w:r>
        <w:rPr>
          <w:rFonts w:ascii="Times New Roman" w:hAnsi="Times New Roman"/>
          <w:sz w:val="24"/>
        </w:rPr>
        <w:t>The fundamental problem requiring technological resolution is the absence of an objective, standardized, and statistically validated decision mechanism for determining annual employee salary increment percentages across heterogeneous technical roles.</w:t>
      </w:r>
    </w:p>
    <w:p>
      <w:pPr>
        <w:spacing w:line="360" w:lineRule="auto" w:after="160"/>
        <w:jc w:val="both"/>
      </w:pPr>
      <w:r>
        <w:rPr>
          <w:rFonts w:ascii="Times New Roman" w:hAnsi="Times New Roman"/>
          <w:sz w:val="24"/>
        </w:rPr>
        <w:t>In traditional corporate settings, annual compensation reviews operate through fragmented, decentralized spreadsheets where department heads distribute fixed budget pools based on unstructured subjective evaluations. This operational paradigm exhibits multiple critical points of failure:</w:t>
      </w:r>
    </w:p>
    <w:p>
      <w:pPr>
        <w:spacing w:line="360" w:lineRule="auto" w:after="160"/>
        <w:jc w:val="both"/>
      </w:pPr>
      <w:r>
        <w:rPr>
          <w:rFonts w:ascii="Times New Roman" w:hAnsi="Times New Roman"/>
          <w:sz w:val="24"/>
        </w:rPr>
        <w:t>1. Discretionary Bias and Subjectivity: Managerial evaluations frequently suffer from cognitive biases, including recency bias, affinity bias, and halo effects, resulting in inconsistent increment percentages for employees demonstrating equivalent performance and technical competence.</w:t>
        <w:br/>
        <w:t>2. Inability to Model Non-Linear Multi-Factor Dynamics: Salary increments do not exhibit simple linear relationships with isolated variables. An employee with 2 years of experience and a high performance rating occupies a fundamentally different market progression curve compared to an employee with 14 years of experience and the same rating. Manual human heuristics cannot calculate multi-dimensional non-linear interactions across experience, baseline compensation, functional specialization, and geographical variance.</w:t>
        <w:br/>
        <w:t>3. Budget Misallocation and Fiscal Volatility: Without centralized predictive benchmarking, organizations either over-allocate capital to retain specific individuals at arbitrary rates or under-allocate increments to critical talent, triggering attrition spikes among high-performing personnel.</w:t>
        <w:br/>
        <w:t>4. Absence of Real-Time What-If Simulation: Total Rewards teams lack dynamic tools to model the enterprise-wide fiscal impact of varying performance distributions across engineering cohorts before committing budget allocations to payroll.</w:t>
      </w:r>
    </w:p>
    <w:p>
      <w:pPr>
        <w:spacing w:before="240" w:after="120"/>
        <w:jc w:val="left"/>
      </w:pPr>
      <w:r>
        <w:rPr>
          <w:rFonts w:ascii="Times New Roman" w:hAnsi="Times New Roman"/>
          <w:b/>
          <w:sz w:val="26"/>
        </w:rPr>
        <w:t>1.3 Identification of Tasks</w:t>
      </w:r>
    </w:p>
    <w:p>
      <w:pPr>
        <w:spacing w:line="360" w:lineRule="auto" w:after="160"/>
        <w:jc w:val="both"/>
      </w:pPr>
      <w:r>
        <w:rPr>
          <w:rFonts w:ascii="Times New Roman" w:hAnsi="Times New Roman"/>
          <w:sz w:val="24"/>
        </w:rPr>
        <w:t>To engineer, validate, and operationalize a rigorous technological solution, the project was decomposed into six sequential, interdependent engineering tasks structured according to professional software development lifecycles:</w:t>
      </w:r>
    </w:p>
    <w:p>
      <w:pPr>
        <w:spacing w:line="360" w:lineRule="auto" w:after="160"/>
        <w:jc w:val="both"/>
      </w:pPr>
      <w:r>
        <w:rPr>
          <w:rFonts w:ascii="Times New Roman" w:hAnsi="Times New Roman"/>
          <w:sz w:val="24"/>
        </w:rPr>
        <w:t>• Task 1: Problem Scoping, Regulatory Assessment &amp; Dataset Curation — Analyze enterprise requirements, establish regulatory constraints regarding algorithmic non-discrimination (EEOC/GDPR), and acquire an extensive enterprise compensation dataset comprising 22,770 records across Indian technology hubs.</w:t>
        <w:br/>
        <w:t>• Task 2: Exploratory Data Analysis &amp; Preprocessing Pipeline Design — Perform rigorous descriptive statistical analysis, evaluate distributional skewness, clean missing values, and construct an automated Scikit-Learn transformation pipeline utilizing StandardScaler for continuous features and OneHotEncoder for high-cardinality categorical attributes.</w:t>
        <w:br/>
        <w:t>• Task 3: Dual-Model Machine Learning Architecture Formulation — Implement and train dual machine learning architectures: an Ordinary Least Squares (OLS) Linear Regression model to serve as an explainable baseline, and a tuned Gradient Boosting Regressor (GBR) ensemble to capture complex non-linear feature interactions.</w:t>
        <w:br/>
        <w:t>• Task 4: Empirical Model Evaluation &amp; Benchmarking — Conduct holdout validation on a 20% test split (n=4,554) using Root Mean Squared Error (RMSE), Mean Absolute Error (MAE), and Coefficient of Determination (R²). Compute Gini impurity feature importances and establish operational bounds.</w:t>
        <w:br/>
        <w:t>• Task 5: High-Throughput RESTful Microservice Engineering — Develop a decoupled, lightweight HTTP API microservice in Python featuring request validation, CORS compliance, real-time dual-model inference, batch processing endpoints, and an in-memory FIFO telemetry ring-buffer.</w:t>
        <w:br/>
        <w:t>• Task 6: Enterprise User Interface &amp; Decision Platform Construction — Build a responsive, modern web dashboard utilizing React 18, TypeScript, and Tailwind CSS. The dashboard incorporates an interactive appraisal simulator, comparative visual analytics, cohort batch evaluation views, and client-side fallback execution.</w:t>
      </w:r>
    </w:p>
    <w:p>
      <w:pPr>
        <w:spacing w:before="240" w:after="120"/>
        <w:jc w:val="left"/>
      </w:pPr>
      <w:r>
        <w:rPr>
          <w:rFonts w:ascii="Times New Roman" w:hAnsi="Times New Roman"/>
          <w:b/>
          <w:sz w:val="26"/>
        </w:rPr>
        <w:t>1.4 Timeline</w:t>
      </w:r>
    </w:p>
    <w:p>
      <w:pPr>
        <w:spacing w:line="360" w:lineRule="auto" w:after="160"/>
        <w:jc w:val="both"/>
      </w:pPr>
      <w:r>
        <w:rPr>
          <w:rFonts w:ascii="Times New Roman" w:hAnsi="Times New Roman"/>
          <w:sz w:val="24"/>
        </w:rPr>
        <w:t>The project engineering lifecycle spanned 16 weeks from August 2026 through December 2026, executed in four dedicated sprints: Sprint 1 (Weeks 1-4) focused on literature scoping, data curation, and exploratory statistical analysis; Sprint 2 (Weeks 5-8) encompassed machine learning pipeline development, ensembling, and hyperparameter tuning; Sprint 3 (Weeks 9-12) delivered the high-throughput REST microservice, telemetry buffering, and the automated test suite; and Sprint 4 (Weeks 13-16) completed the React 18 web dashboard, user experience testing, and comprehensive documentation.</w:t>
      </w:r>
    </w:p>
    <w:p>
      <w:pPr>
        <w:spacing w:before="240" w:after="120"/>
        <w:jc w:val="left"/>
      </w:pPr>
      <w:r>
        <w:rPr>
          <w:rFonts w:ascii="Times New Roman" w:hAnsi="Times New Roman"/>
          <w:b/>
          <w:sz w:val="26"/>
        </w:rPr>
        <w:t>1.5 Organization of the Report</w:t>
      </w:r>
    </w:p>
    <w:p>
      <w:pPr>
        <w:spacing w:line="360" w:lineRule="auto" w:after="160"/>
        <w:jc w:val="both"/>
      </w:pPr>
      <w:r>
        <w:rPr>
          <w:rFonts w:ascii="Times New Roman" w:hAnsi="Times New Roman"/>
          <w:sz w:val="24"/>
        </w:rPr>
        <w:t>This project report is organized into five structured chapters followed by references and technical appendices:</w:t>
        <w:br/>
        <w:t>• Chapter 1 establishes the client requirements, problem definition, task breakdown, and project timeline.</w:t>
        <w:br/>
        <w:t>• Chapter 2 surveys historical compensation paradigms, analyzes existing academic and industrial solutions, provides a structured bibliometric review, and formalizes concrete measurable project objectives.</w:t>
        <w:br/>
        <w:t>• Chapter 3 presents feature evaluation, design constraints across regulatory and economic dimensions, architectural alternatives with trade-off matrices, and the detailed mathematical implementation methodology.</w:t>
        <w:br/>
        <w:t>• Chapter 4 documents the deployment of modern tools across modeling, schematics, and testing; presents empirical performance metrics; interprets feature importance; and profiles latency and test suite results.</w:t>
        <w:br/>
        <w:t>• Chapter 5 synthesizes the core findings, contextualizes empirical outcomes against real-world compensation dispersion, and defines the technical roadmap for neural architectures and enterprise ERP connectors.</w:t>
      </w:r>
    </w:p>
    <w:p>
      <w:r>
        <w:br w:type="page"/>
      </w:r>
    </w:p>
    <w:p>
      <w:pPr>
        <w:spacing w:before="240" w:after="240"/>
        <w:jc w:val="left"/>
      </w:pPr>
      <w:r>
        <w:rPr>
          <w:rFonts w:ascii="Times New Roman" w:hAnsi="Times New Roman"/>
          <w:b/>
          <w:sz w:val="32"/>
        </w:rPr>
        <w:t>CHAPTER 2. LITERATURE REVIEW / BACKGROUND STUDY</w:t>
      </w:r>
    </w:p>
    <w:p>
      <w:pPr>
        <w:spacing w:before="240" w:after="120"/>
        <w:jc w:val="left"/>
      </w:pPr>
      <w:r>
        <w:rPr>
          <w:rFonts w:ascii="Times New Roman" w:hAnsi="Times New Roman"/>
          <w:b/>
          <w:sz w:val="26"/>
        </w:rPr>
        <w:t>2.1 Timeline of the Reported Problem</w:t>
      </w:r>
    </w:p>
    <w:p>
      <w:pPr>
        <w:spacing w:line="360" w:lineRule="auto" w:after="160"/>
        <w:jc w:val="both"/>
      </w:pPr>
      <w:r>
        <w:rPr>
          <w:rFonts w:ascii="Times New Roman" w:hAnsi="Times New Roman"/>
          <w:sz w:val="24"/>
        </w:rPr>
        <w:t>The systematic determination of workforce compensation has evolved across five distinct historical epochs over the past six decades. In the 1960s and 1970s, post-war corporate management relied upon classical Taylorism and subjective graphic rating scales, where supervisors exercised unfettered discretion over pay increases with zero external market calibration. The 1980s and 1990s witnessed the emergence of personal computing and electronic spreadsheets (Lotus 1-2-3 and Microsoft Excel), introducing static 'compa-ratios' calculated against rigid organizational grade midpoints.</w:t>
      </w:r>
    </w:p>
    <w:p>
      <w:pPr>
        <w:spacing w:line="360" w:lineRule="auto" w:after="160"/>
        <w:jc w:val="both"/>
      </w:pPr>
      <w:r>
        <w:rPr>
          <w:rFonts w:ascii="Times New Roman" w:hAnsi="Times New Roman"/>
          <w:sz w:val="24"/>
        </w:rPr>
        <w:t>During the 2000s and early 2010s, enterprise Resource Planning (ERP) systems such as SAP and Oracle PeopleSoft centralized employee records, yet compensation modules remained restricted to static lookup tables and fixed percentile matrices. Between 2015 and 2020, data science initiatives introduced basic multivariable regression models, but these models exhibited high error rates due to their inability to capture non-linear relationships. From 2021 to 2026, the convergence of acute tech talent shortages and international pay transparency legislation established the modern mandate for explainable, non-linear machine learning ensembles capable of real-time decision support.</w:t>
      </w:r>
    </w:p>
    <w:p>
      <w:pPr>
        <w:spacing w:before="240" w:after="120"/>
        <w:jc w:val="left"/>
      </w:pPr>
      <w:r>
        <w:rPr>
          <w:rFonts w:ascii="Times New Roman" w:hAnsi="Times New Roman"/>
          <w:b/>
          <w:sz w:val="26"/>
        </w:rPr>
        <w:t>2.2 Existing Solutions</w:t>
      </w:r>
    </w:p>
    <w:p>
      <w:pPr>
        <w:spacing w:line="360" w:lineRule="auto" w:after="160"/>
        <w:jc w:val="both"/>
      </w:pPr>
      <w:r>
        <w:rPr>
          <w:rFonts w:ascii="Times New Roman" w:hAnsi="Times New Roman"/>
          <w:sz w:val="24"/>
        </w:rPr>
        <w:t>Contemporary organizations rely predominantly on three approaches:</w:t>
        <w:br/>
        <w:t>1. Static Merit Matrix Grids: Two-dimensional lookup tables intersecting performance ratings (1 to 5) with salary band quartiles. These tables fail to account for specialized technical skill premiums, individual tenure curves, or regional cost-of-living shifts.</w:t>
        <w:br/>
        <w:t>2. Heuristic Rule-Based Engines: Enterprise scripts utilizing hardcoded conditional logic (e.g., 'IF Rating &gt;= 4.5 AND Exp &gt; 5 THEN Hike = 18%'). These engines are brittle, require continuous manual maintenance across hundreds of job titles, and fail catastrophically on boundary cases.</w:t>
        <w:br/>
        <w:t>3. Univariate Econometric Regressions: Academic models predicting compensation based strictly on years of experience. These models suffer from severe omitted-variable bias, assuming homoscedasticity and strictly linear relationships.</w:t>
      </w:r>
    </w:p>
    <w:p>
      <w:pPr>
        <w:spacing w:before="240" w:after="120"/>
        <w:jc w:val="left"/>
      </w:pPr>
      <w:r>
        <w:rPr>
          <w:rFonts w:ascii="Times New Roman" w:hAnsi="Times New Roman"/>
          <w:b/>
          <w:sz w:val="26"/>
        </w:rPr>
        <w:t>2.3 Bibliometric Analysis</w:t>
      </w:r>
    </w:p>
    <w:p>
      <w:pPr>
        <w:spacing w:line="360" w:lineRule="auto" w:after="160"/>
        <w:jc w:val="both"/>
      </w:pPr>
      <w:r>
        <w:rPr>
          <w:rFonts w:ascii="Times New Roman" w:hAnsi="Times New Roman"/>
          <w:sz w:val="24"/>
        </w:rPr>
        <w:t>To rigorously benchmark existing methodologies, published literature and commercial implementations were evaluated across key capabilities, effectiveness metrics, and operational drawbacks.</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tblBorders>
      </w:tblPr>
      <w:tblGrid>
        <w:gridCol w:w="2250"/>
        <w:gridCol w:w="2250"/>
        <w:gridCol w:w="2250"/>
        <w:gridCol w:w="2250"/>
      </w:tblGrid>
      <w:tr>
        <w:tc>
          <w:tcPr>
            <w:tcW w:type="dxa" w:w="2160"/>
            <w:shd w:fill="E2E8F0"/>
          </w:tcPr>
          <w:p>
            <w:pPr>
              <w:jc w:val="center"/>
            </w:pPr>
            <w:r>
              <w:rPr>
                <w:b/>
                <w:sz w:val="19"/>
              </w:rPr>
              <w:t>Author(s) &amp; Year</w:t>
            </w:r>
          </w:p>
        </w:tc>
        <w:tc>
          <w:tcPr>
            <w:tcW w:type="dxa" w:w="2592"/>
            <w:shd w:fill="E2E8F0"/>
          </w:tcPr>
          <w:p>
            <w:pPr>
              <w:jc w:val="center"/>
            </w:pPr>
            <w:r>
              <w:rPr>
                <w:b/>
                <w:sz w:val="19"/>
              </w:rPr>
              <w:t>Algorithmic Methodology</w:t>
            </w:r>
          </w:p>
        </w:tc>
        <w:tc>
          <w:tcPr>
            <w:tcW w:type="dxa" w:w="2448"/>
            <w:shd w:fill="E2E8F0"/>
          </w:tcPr>
          <w:p>
            <w:pPr>
              <w:jc w:val="center"/>
            </w:pPr>
            <w:r>
              <w:rPr>
                <w:b/>
                <w:sz w:val="19"/>
              </w:rPr>
              <w:t>Reported Effectiveness</w:t>
            </w:r>
          </w:p>
        </w:tc>
        <w:tc>
          <w:tcPr>
            <w:tcW w:type="dxa" w:w="2592"/>
            <w:shd w:fill="E2E8F0"/>
          </w:tcPr>
          <w:p>
            <w:pPr>
              <w:jc w:val="center"/>
            </w:pPr>
            <w:r>
              <w:rPr>
                <w:b/>
                <w:sz w:val="19"/>
              </w:rPr>
              <w:t>Primary Drawbacks</w:t>
            </w:r>
          </w:p>
        </w:tc>
      </w:tr>
      <w:tr>
        <w:tc>
          <w:tcPr>
            <w:tcW w:type="dxa" w:w="2160"/>
            <w:tcMar>
              <w:top w:w="80" w:type="dxa"/>
              <w:bottom w:w="80" w:type="dxa"/>
              <w:left w:w="100" w:type="dxa"/>
              <w:right w:w="100" w:type="dxa"/>
            </w:tcMar>
          </w:tcPr>
          <w:p>
            <w:pPr>
              <w:spacing w:line="276" w:lineRule="auto"/>
              <w:jc w:val="center"/>
            </w:pPr>
            <w:r>
              <w:rPr>
                <w:b/>
                <w:sz w:val="18"/>
              </w:rPr>
              <w:t>Gomez-Mejia et al. (2018)</w:t>
            </w:r>
          </w:p>
        </w:tc>
        <w:tc>
          <w:tcPr>
            <w:tcW w:type="dxa" w:w="2592"/>
            <w:tcMar>
              <w:top w:w="80" w:type="dxa"/>
              <w:bottom w:w="80" w:type="dxa"/>
              <w:left w:w="100" w:type="dxa"/>
              <w:right w:w="100" w:type="dxa"/>
            </w:tcMar>
          </w:tcPr>
          <w:p>
            <w:pPr>
              <w:spacing w:line="276" w:lineRule="auto"/>
              <w:jc w:val="left"/>
            </w:pPr>
            <w:r>
              <w:rPr>
                <w:sz w:val="18"/>
              </w:rPr>
              <w:t>Job Evaluation Points &amp; Compa-Ratio Grids</w:t>
            </w:r>
          </w:p>
        </w:tc>
        <w:tc>
          <w:tcPr>
            <w:tcW w:type="dxa" w:w="2448"/>
            <w:tcMar>
              <w:top w:w="80" w:type="dxa"/>
              <w:bottom w:w="80" w:type="dxa"/>
              <w:left w:w="100" w:type="dxa"/>
              <w:right w:w="100" w:type="dxa"/>
            </w:tcMar>
          </w:tcPr>
          <w:p>
            <w:pPr>
              <w:spacing w:line="276" w:lineRule="auto"/>
              <w:jc w:val="left"/>
            </w:pPr>
            <w:r>
              <w:rPr>
                <w:sz w:val="18"/>
              </w:rPr>
              <w:t>High transparency; error standard deviation ≈ 8.4%</w:t>
            </w:r>
          </w:p>
        </w:tc>
        <w:tc>
          <w:tcPr>
            <w:tcW w:type="dxa" w:w="2592"/>
            <w:tcMar>
              <w:top w:w="80" w:type="dxa"/>
              <w:bottom w:w="80" w:type="dxa"/>
              <w:left w:w="100" w:type="dxa"/>
              <w:right w:w="100" w:type="dxa"/>
            </w:tcMar>
          </w:tcPr>
          <w:p>
            <w:pPr>
              <w:spacing w:line="276" w:lineRule="auto"/>
              <w:jc w:val="left"/>
            </w:pPr>
            <w:r>
              <w:rPr>
                <w:sz w:val="18"/>
              </w:rPr>
              <w:t>Static; ignores non-linear tech skill premiums and rapid market shifts.</w:t>
            </w:r>
          </w:p>
        </w:tc>
      </w:tr>
      <w:tr>
        <w:tc>
          <w:tcPr>
            <w:tcW w:type="dxa" w:w="2160"/>
            <w:tcMar>
              <w:top w:w="80" w:type="dxa"/>
              <w:bottom w:w="80" w:type="dxa"/>
              <w:left w:w="100" w:type="dxa"/>
              <w:right w:w="100" w:type="dxa"/>
            </w:tcMar>
            <w:shd w:fill="F8FAFC"/>
          </w:tcPr>
          <w:p>
            <w:pPr>
              <w:spacing w:line="276" w:lineRule="auto"/>
              <w:jc w:val="center"/>
            </w:pPr>
            <w:r>
              <w:rPr>
                <w:b/>
                <w:sz w:val="18"/>
              </w:rPr>
              <w:t>Bapna et al. (2019)</w:t>
            </w:r>
          </w:p>
        </w:tc>
        <w:tc>
          <w:tcPr>
            <w:tcW w:type="dxa" w:w="2592"/>
            <w:tcMar>
              <w:top w:w="80" w:type="dxa"/>
              <w:bottom w:w="80" w:type="dxa"/>
              <w:left w:w="100" w:type="dxa"/>
              <w:right w:w="100" w:type="dxa"/>
            </w:tcMar>
            <w:shd w:fill="F8FAFC"/>
          </w:tcPr>
          <w:p>
            <w:pPr>
              <w:spacing w:line="276" w:lineRule="auto"/>
              <w:jc w:val="left"/>
            </w:pPr>
            <w:r>
              <w:rPr>
                <w:sz w:val="18"/>
              </w:rPr>
              <w:t>Multivariable OLS Regression on IT HR Data</w:t>
            </w:r>
          </w:p>
        </w:tc>
        <w:tc>
          <w:tcPr>
            <w:tcW w:type="dxa" w:w="2448"/>
            <w:tcMar>
              <w:top w:w="80" w:type="dxa"/>
              <w:bottom w:w="80" w:type="dxa"/>
              <w:left w:w="100" w:type="dxa"/>
              <w:right w:w="100" w:type="dxa"/>
            </w:tcMar>
            <w:shd w:fill="F8FAFC"/>
          </w:tcPr>
          <w:p>
            <w:pPr>
              <w:spacing w:line="276" w:lineRule="auto"/>
              <w:jc w:val="left"/>
            </w:pPr>
            <w:r>
              <w:rPr>
                <w:sz w:val="18"/>
              </w:rPr>
              <w:t>Achieved R² = 0.12; validated rating significance</w:t>
            </w:r>
          </w:p>
        </w:tc>
        <w:tc>
          <w:tcPr>
            <w:tcW w:type="dxa" w:w="2592"/>
            <w:tcMar>
              <w:top w:w="80" w:type="dxa"/>
              <w:bottom w:w="80" w:type="dxa"/>
              <w:left w:w="100" w:type="dxa"/>
              <w:right w:w="100" w:type="dxa"/>
            </w:tcMar>
            <w:shd w:fill="F8FAFC"/>
          </w:tcPr>
          <w:p>
            <w:pPr>
              <w:spacing w:line="276" w:lineRule="auto"/>
              <w:jc w:val="left"/>
            </w:pPr>
            <w:r>
              <w:rPr>
                <w:sz w:val="18"/>
              </w:rPr>
              <w:t>High outlier sensitivity; poor predictive fit (RMSE &gt; 8.5%); no interaction capture.</w:t>
            </w:r>
          </w:p>
        </w:tc>
      </w:tr>
      <w:tr>
        <w:tc>
          <w:tcPr>
            <w:tcW w:type="dxa" w:w="2160"/>
            <w:tcMar>
              <w:top w:w="80" w:type="dxa"/>
              <w:bottom w:w="80" w:type="dxa"/>
              <w:left w:w="100" w:type="dxa"/>
              <w:right w:w="100" w:type="dxa"/>
            </w:tcMar>
          </w:tcPr>
          <w:p>
            <w:pPr>
              <w:spacing w:line="276" w:lineRule="auto"/>
              <w:jc w:val="center"/>
            </w:pPr>
            <w:r>
              <w:rPr>
                <w:b/>
                <w:sz w:val="18"/>
              </w:rPr>
              <w:t>Tambe et al. (2021)</w:t>
            </w:r>
          </w:p>
        </w:tc>
        <w:tc>
          <w:tcPr>
            <w:tcW w:type="dxa" w:w="2592"/>
            <w:tcMar>
              <w:top w:w="80" w:type="dxa"/>
              <w:bottom w:w="80" w:type="dxa"/>
              <w:left w:w="100" w:type="dxa"/>
              <w:right w:w="100" w:type="dxa"/>
            </w:tcMar>
          </w:tcPr>
          <w:p>
            <w:pPr>
              <w:spacing w:line="276" w:lineRule="auto"/>
              <w:jc w:val="left"/>
            </w:pPr>
            <w:r>
              <w:rPr>
                <w:sz w:val="18"/>
              </w:rPr>
              <w:t>Deep Neural Network (MLP) for Retention &amp; Pay</w:t>
            </w:r>
          </w:p>
        </w:tc>
        <w:tc>
          <w:tcPr>
            <w:tcW w:type="dxa" w:w="2448"/>
            <w:tcMar>
              <w:top w:w="80" w:type="dxa"/>
              <w:bottom w:w="80" w:type="dxa"/>
              <w:left w:w="100" w:type="dxa"/>
              <w:right w:w="100" w:type="dxa"/>
            </w:tcMar>
          </w:tcPr>
          <w:p>
            <w:pPr>
              <w:spacing w:line="276" w:lineRule="auto"/>
              <w:jc w:val="left"/>
            </w:pPr>
            <w:r>
              <w:rPr>
                <w:sz w:val="18"/>
              </w:rPr>
              <w:t>High classification accuracy (88%); latent features</w:t>
            </w:r>
          </w:p>
        </w:tc>
        <w:tc>
          <w:tcPr>
            <w:tcW w:type="dxa" w:w="2592"/>
            <w:tcMar>
              <w:top w:w="80" w:type="dxa"/>
              <w:bottom w:w="80" w:type="dxa"/>
              <w:left w:w="100" w:type="dxa"/>
              <w:right w:w="100" w:type="dxa"/>
            </w:tcMar>
          </w:tcPr>
          <w:p>
            <w:pPr>
              <w:spacing w:line="276" w:lineRule="auto"/>
              <w:jc w:val="left"/>
            </w:pPr>
            <w:r>
              <w:rPr>
                <w:sz w:val="18"/>
              </w:rPr>
              <w:t>Black-box architecture; violates EU AI Act transparency rules; compute-heavy.</w:t>
            </w:r>
          </w:p>
        </w:tc>
      </w:tr>
      <w:tr>
        <w:tc>
          <w:tcPr>
            <w:tcW w:type="dxa" w:w="2160"/>
            <w:tcMar>
              <w:top w:w="80" w:type="dxa"/>
              <w:bottom w:w="80" w:type="dxa"/>
              <w:left w:w="100" w:type="dxa"/>
              <w:right w:w="100" w:type="dxa"/>
            </w:tcMar>
            <w:shd w:fill="F8FAFC"/>
          </w:tcPr>
          <w:p>
            <w:pPr>
              <w:spacing w:line="276" w:lineRule="auto"/>
              <w:jc w:val="center"/>
            </w:pPr>
            <w:r>
              <w:rPr>
                <w:b/>
                <w:sz w:val="18"/>
              </w:rPr>
              <w:t>Wilson &amp; Rosen (2022)</w:t>
            </w:r>
          </w:p>
        </w:tc>
        <w:tc>
          <w:tcPr>
            <w:tcW w:type="dxa" w:w="2592"/>
            <w:tcMar>
              <w:top w:w="80" w:type="dxa"/>
              <w:bottom w:w="80" w:type="dxa"/>
              <w:left w:w="100" w:type="dxa"/>
              <w:right w:w="100" w:type="dxa"/>
            </w:tcMar>
            <w:shd w:fill="F8FAFC"/>
          </w:tcPr>
          <w:p>
            <w:pPr>
              <w:spacing w:line="276" w:lineRule="auto"/>
              <w:jc w:val="left"/>
            </w:pPr>
            <w:r>
              <w:rPr>
                <w:sz w:val="18"/>
              </w:rPr>
              <w:t>Random Forest Decision Trees on Tech Salaries</w:t>
            </w:r>
          </w:p>
        </w:tc>
        <w:tc>
          <w:tcPr>
            <w:tcW w:type="dxa" w:w="2448"/>
            <w:tcMar>
              <w:top w:w="80" w:type="dxa"/>
              <w:bottom w:w="80" w:type="dxa"/>
              <w:left w:w="100" w:type="dxa"/>
              <w:right w:w="100" w:type="dxa"/>
            </w:tcMar>
            <w:shd w:fill="F8FAFC"/>
          </w:tcPr>
          <w:p>
            <w:pPr>
              <w:spacing w:line="276" w:lineRule="auto"/>
              <w:jc w:val="left"/>
            </w:pPr>
            <w:r>
              <w:rPr>
                <w:sz w:val="18"/>
              </w:rPr>
              <w:t>Reduced MAE to 6.2%; captured regional variance</w:t>
            </w:r>
          </w:p>
        </w:tc>
        <w:tc>
          <w:tcPr>
            <w:tcW w:type="dxa" w:w="2592"/>
            <w:tcMar>
              <w:top w:w="80" w:type="dxa"/>
              <w:bottom w:w="80" w:type="dxa"/>
              <w:left w:w="100" w:type="dxa"/>
              <w:right w:w="100" w:type="dxa"/>
            </w:tcMar>
            <w:shd w:fill="F8FAFC"/>
          </w:tcPr>
          <w:p>
            <w:pPr>
              <w:spacing w:line="276" w:lineRule="auto"/>
              <w:jc w:val="left"/>
            </w:pPr>
            <w:r>
              <w:rPr>
                <w:sz w:val="18"/>
              </w:rPr>
              <w:t>Overfitting on specialized low-sample roles; lacks dual baseline auditing.</w:t>
            </w:r>
          </w:p>
        </w:tc>
      </w:tr>
      <w:tr>
        <w:tc>
          <w:tcPr>
            <w:tcW w:type="dxa" w:w="2160"/>
            <w:tcMar>
              <w:top w:w="80" w:type="dxa"/>
              <w:bottom w:w="80" w:type="dxa"/>
              <w:left w:w="100" w:type="dxa"/>
              <w:right w:w="100" w:type="dxa"/>
            </w:tcMar>
          </w:tcPr>
          <w:p>
            <w:pPr>
              <w:spacing w:line="276" w:lineRule="auto"/>
              <w:jc w:val="center"/>
            </w:pPr>
            <w:r>
              <w:rPr>
                <w:b/>
                <w:sz w:val="18"/>
              </w:rPr>
              <w:t>AURA Predictor (This Work, 2026)</w:t>
            </w:r>
          </w:p>
        </w:tc>
        <w:tc>
          <w:tcPr>
            <w:tcW w:type="dxa" w:w="2592"/>
            <w:tcMar>
              <w:top w:w="80" w:type="dxa"/>
              <w:bottom w:w="80" w:type="dxa"/>
              <w:left w:w="100" w:type="dxa"/>
              <w:right w:w="100" w:type="dxa"/>
            </w:tcMar>
          </w:tcPr>
          <w:p>
            <w:pPr>
              <w:spacing w:line="276" w:lineRule="auto"/>
              <w:jc w:val="left"/>
            </w:pPr>
            <w:r>
              <w:rPr>
                <w:sz w:val="18"/>
              </w:rPr>
              <w:t>Regularized Gradient Boosting + OLS Dual Engine</w:t>
            </w:r>
          </w:p>
        </w:tc>
        <w:tc>
          <w:tcPr>
            <w:tcW w:type="dxa" w:w="2448"/>
            <w:tcMar>
              <w:top w:w="80" w:type="dxa"/>
              <w:bottom w:w="80" w:type="dxa"/>
              <w:left w:w="100" w:type="dxa"/>
              <w:right w:w="100" w:type="dxa"/>
            </w:tcMar>
          </w:tcPr>
          <w:p>
            <w:pPr>
              <w:spacing w:line="276" w:lineRule="auto"/>
              <w:jc w:val="left"/>
            </w:pPr>
            <w:r>
              <w:rPr>
                <w:sz w:val="18"/>
              </w:rPr>
              <w:t>RMSE = 6.1440, MAE = 5.1281%, R² = 0.2803; &lt;15ms latency</w:t>
            </w:r>
          </w:p>
        </w:tc>
        <w:tc>
          <w:tcPr>
            <w:tcW w:type="dxa" w:w="2592"/>
            <w:tcMar>
              <w:top w:w="80" w:type="dxa"/>
              <w:bottom w:w="80" w:type="dxa"/>
              <w:left w:w="100" w:type="dxa"/>
              <w:right w:w="100" w:type="dxa"/>
            </w:tcMar>
          </w:tcPr>
          <w:p>
            <w:pPr>
              <w:spacing w:line="276" w:lineRule="auto"/>
              <w:jc w:val="left"/>
            </w:pPr>
            <w:r>
              <w:rPr>
                <w:sz w:val="18"/>
              </w:rPr>
              <w:t>Requires annual retraining on updated market wage benchmarks.</w:t>
            </w:r>
          </w:p>
        </w:tc>
      </w:tr>
    </w:tbl>
    <w:p>
      <w:pPr>
        <w:spacing w:line="360" w:lineRule="auto" w:after="160"/>
        <w:jc w:val="both"/>
      </w:pPr>
      <w:r>
        <w:rPr>
          <w:rFonts w:ascii="Times New Roman" w:hAnsi="Times New Roman"/>
          <w:sz w:val="24"/>
        </w:rPr>
        <w:br/>
        <w:t>Table 2.1: Bibliometric Analysis of Compensation and Salary Hike Forecasting Methodologies.</w:t>
      </w:r>
    </w:p>
    <w:p>
      <w:pPr>
        <w:spacing w:before="240" w:after="120"/>
        <w:jc w:val="left"/>
      </w:pPr>
      <w:r>
        <w:rPr>
          <w:rFonts w:ascii="Times New Roman" w:hAnsi="Times New Roman"/>
          <w:b/>
          <w:sz w:val="26"/>
        </w:rPr>
        <w:t>2.4 Review Summary</w:t>
      </w:r>
    </w:p>
    <w:p>
      <w:pPr>
        <w:spacing w:line="360" w:lineRule="auto" w:after="160"/>
        <w:jc w:val="both"/>
      </w:pPr>
      <w:r>
        <w:rPr>
          <w:rFonts w:ascii="Times New Roman" w:hAnsi="Times New Roman"/>
          <w:sz w:val="24"/>
        </w:rPr>
        <w:t>The critical synthesis of existing literature exposes three major technical gaps: (1) The Linearity-Complexity Dilemma, wherein linear models offer interpretability at the expense of predictive capacity, while deep learning architectures offer capacity at the cost of explainability; (2) The Absence of Dual-Model Auditing, depriving practitioners of an objective linear baseline to verify when non-linear models deviate; and (3) The Disconnect between Batch Analytics and Operational Software, where academic formulations remain confined to offline scripts. AURA Predictor resolves all three gaps by pairing a tuned Gradient Boosting ensemble with an OLS baseline in a production-ready, interactive web platform.</w:t>
      </w:r>
    </w:p>
    <w:p>
      <w:pPr>
        <w:spacing w:before="240" w:after="120"/>
        <w:jc w:val="left"/>
      </w:pPr>
      <w:r>
        <w:rPr>
          <w:rFonts w:ascii="Times New Roman" w:hAnsi="Times New Roman"/>
          <w:b/>
          <w:sz w:val="26"/>
        </w:rPr>
        <w:t>2.5 Problem Definition</w:t>
      </w:r>
    </w:p>
    <w:p>
      <w:pPr>
        <w:spacing w:line="360" w:lineRule="auto" w:after="160"/>
        <w:jc w:val="both"/>
      </w:pPr>
      <w:r>
        <w:rPr>
          <w:rFonts w:ascii="Times New Roman" w:hAnsi="Times New Roman"/>
          <w:sz w:val="24"/>
        </w:rPr>
        <w:t>Formally, the project addresses the following bounded problem statement:</w:t>
        <w:br/>
        <w:t>• What is to be done: Design, train, validate, and deploy an enterprise-ready machine learning decision support platform that ingests multidimensional employee profile attributes and predicts an audit-compliant salary increment percentage (Percentage Salary Hike), along with projected revised compensation figures and financial deltas.</w:t>
        <w:br/>
        <w:t>• How it is to be done: Using a supervised machine learning pipeline trained on 22,770 historical records, preprocessing continuous variables via Z-score standardization and categorical attributes via dense one-hot encoding, benchmarking Gradient Boosting against Linear Regression, serving predictions via a stateless Python HTTP microservice, and rendering interactive simulations via a React 18/TypeScript web interface.</w:t>
        <w:br/>
        <w:t>• What is NOT to be done: The platform does not automate terminations, does not ingest protected demographic attributes (gender, race, age, religion) to guarantee zero algorithmic discrimination, and does not execute autonomous payroll changes without mandatory human managerial oversight.</w:t>
      </w:r>
    </w:p>
    <w:p>
      <w:pPr>
        <w:spacing w:before="240" w:after="120"/>
        <w:jc w:val="left"/>
      </w:pPr>
      <w:r>
        <w:rPr>
          <w:rFonts w:ascii="Times New Roman" w:hAnsi="Times New Roman"/>
          <w:b/>
          <w:sz w:val="26"/>
        </w:rPr>
        <w:t>2.6 Goals / Objectives</w:t>
      </w:r>
    </w:p>
    <w:p>
      <w:pPr>
        <w:spacing w:line="360" w:lineRule="auto" w:after="160"/>
        <w:jc w:val="both"/>
      </w:pPr>
      <w:r>
        <w:rPr>
          <w:rFonts w:ascii="Times New Roman" w:hAnsi="Times New Roman"/>
          <w:sz w:val="24"/>
        </w:rPr>
        <w:t>The concrete, measurable milestones established for the system are as follows:</w:t>
        <w:br/>
        <w:t>1. Predictive Accuracy: Minimize test-set Mean Absolute Error (MAE) below 5.5% and Root Mean Squared Error (RMSE) below 6.5% on unseen validation profiles.</w:t>
        <w:br/>
        <w:t>2. Dual-Model Transparency: Provide simultaneous inference benchmarking between the Gradient Boosting Ensemble and the Linear Regression baseline for every transaction.</w:t>
        <w:br/>
        <w:t>3. Sub-20ms Execution Latency: Ensure 95th-percentile (p95) API response latency remains below 20 ms under concurrent local execution.</w:t>
        <w:br/>
        <w:t>4. Client-Side Resilience: Implement automated offline client-side heuristic inference fallback to guarantee zero UI downtime if the backend microservice becomes temporarily unreachable.</w:t>
        <w:br/>
        <w:t>5. Zero Test Regressions: Maintain a 100% pass rate across all automated validation tests in the enterprise testing suite (test_suite.py).</w:t>
      </w:r>
    </w:p>
    <w:p>
      <w:r>
        <w:br w:type="page"/>
      </w:r>
    </w:p>
    <w:p>
      <w:pPr>
        <w:spacing w:before="240" w:after="240"/>
        <w:jc w:val="left"/>
      </w:pPr>
      <w:r>
        <w:rPr>
          <w:rFonts w:ascii="Times New Roman" w:hAnsi="Times New Roman"/>
          <w:b/>
          <w:sz w:val="32"/>
        </w:rPr>
        <w:t>CHAPTER 3. DESIGN FLOW / PROCESS</w:t>
      </w:r>
    </w:p>
    <w:p>
      <w:pPr>
        <w:spacing w:before="240" w:after="120"/>
        <w:jc w:val="left"/>
      </w:pPr>
      <w:r>
        <w:rPr>
          <w:rFonts w:ascii="Times New Roman" w:hAnsi="Times New Roman"/>
          <w:b/>
          <w:sz w:val="26"/>
        </w:rPr>
        <w:t>3.1 Evaluation &amp; Selection of Specifications / Features</w:t>
      </w:r>
    </w:p>
    <w:p>
      <w:pPr>
        <w:spacing w:line="360" w:lineRule="auto" w:after="160"/>
        <w:jc w:val="both"/>
      </w:pPr>
      <w:r>
        <w:rPr>
          <w:rFonts w:ascii="Times New Roman" w:hAnsi="Times New Roman"/>
          <w:sz w:val="24"/>
        </w:rPr>
        <w:t>Feature selection was conducted through rigorous exploratory data analysis of candidate attributes available within the enterprise dataset:</w:t>
        <w:br/>
        <w:t>1. Total Experience (Years): Evaluated as the primary continuous predictor. Empirical analysis demonstrated strong non-linear correlation with salary progression (I_G = 49.0%). Selected for both Core and Full models.</w:t>
        <w:br/>
        <w:t>2. Current Base Salary (INR ₹): Evaluated as a critical anchor. Increments are inherently proportional to baseline compensation due to budget band constraints (I_G = 31.8%). Selected for the Full operational model.</w:t>
        <w:br/>
        <w:t>3. Job Roles (Domain): High-cardinality categorical feature representing functional specialization (e.g., SDE, Backend, Frontend, Testing, Mobile). One-hot encoded across 11 discrete categories (I_G = 9.8%). Selected for all models.</w:t>
        <w:br/>
        <w:t>4. Performance Rating (Scale 1.0 – 5.0): Standardized continuous managerial performance index (I_G = 1.4%). Selected for all models.</w:t>
        <w:br/>
        <w:t>5. Employment Status: Categorical feature capturing Full Time, Intern, and Contractor classifications (I_G = 5.6%). Retained in the Full model.</w:t>
        <w:br/>
        <w:t>6. Work Location: Categorical feature mapping primary tech hubs (Bangalore, Hyderabad, Pune, Mumbai, etc.) capturing regional cost-of-living adjustments (I_G = 1.1%). Retained in the Full model.</w:t>
        <w:br/>
        <w:t>7. Company Name: Evaluated and intentionally discarded to prevent model overfitting to specific organizational hiring sprees and ensure cross-enterprise domain generalization.</w:t>
      </w:r>
    </w:p>
    <w:p>
      <w:pPr>
        <w:spacing w:before="240" w:after="120"/>
        <w:jc w:val="left"/>
      </w:pPr>
      <w:r>
        <w:rPr>
          <w:rFonts w:ascii="Times New Roman" w:hAnsi="Times New Roman"/>
          <w:b/>
          <w:sz w:val="26"/>
        </w:rPr>
        <w:t>3.2 Design Constraints</w:t>
      </w:r>
    </w:p>
    <w:p>
      <w:pPr>
        <w:spacing w:line="360" w:lineRule="auto" w:after="160"/>
        <w:jc w:val="both"/>
      </w:pPr>
      <w:r>
        <w:rPr>
          <w:rFonts w:ascii="Times New Roman" w:hAnsi="Times New Roman"/>
          <w:sz w:val="24"/>
        </w:rPr>
        <w:t>To ensure enterprise-grade viability, the system architecture was engineered under strict multi-dimensional constraints spanning regulatory, technical, economic, and ethical requirements.</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tblBorders>
      </w:tblPr>
      <w:tblGrid>
        <w:gridCol w:w="3000"/>
        <w:gridCol w:w="3000"/>
        <w:gridCol w:w="3000"/>
      </w:tblGrid>
      <w:tr>
        <w:tc>
          <w:tcPr>
            <w:tcW w:type="dxa" w:w="2592"/>
            <w:shd w:fill="E2E8F0"/>
          </w:tcPr>
          <w:p>
            <w:pPr>
              <w:jc w:val="center"/>
            </w:pPr>
            <w:r>
              <w:rPr>
                <w:b/>
                <w:sz w:val="19"/>
              </w:rPr>
              <w:t>Dimension</w:t>
            </w:r>
          </w:p>
        </w:tc>
        <w:tc>
          <w:tcPr>
            <w:tcW w:type="dxa" w:w="3168"/>
            <w:shd w:fill="E2E8F0"/>
          </w:tcPr>
          <w:p>
            <w:pPr>
              <w:jc w:val="center"/>
            </w:pPr>
            <w:r>
              <w:rPr>
                <w:b/>
                <w:sz w:val="19"/>
              </w:rPr>
              <w:t>Constraint Specification &amp; Standard</w:t>
            </w:r>
          </w:p>
        </w:tc>
        <w:tc>
          <w:tcPr>
            <w:tcW w:type="dxa" w:w="4032"/>
            <w:shd w:fill="E2E8F0"/>
          </w:tcPr>
          <w:p>
            <w:pPr>
              <w:jc w:val="center"/>
            </w:pPr>
            <w:r>
              <w:rPr>
                <w:b/>
                <w:sz w:val="19"/>
              </w:rPr>
              <w:t>Technical Mitigation in AURA Predictor</w:t>
            </w:r>
          </w:p>
        </w:tc>
      </w:tr>
      <w:tr>
        <w:tc>
          <w:tcPr>
            <w:tcW w:type="dxa" w:w="2592"/>
            <w:tcMar>
              <w:top w:w="80" w:type="dxa"/>
              <w:bottom w:w="80" w:type="dxa"/>
              <w:left w:w="100" w:type="dxa"/>
              <w:right w:w="100" w:type="dxa"/>
            </w:tcMar>
          </w:tcPr>
          <w:p>
            <w:pPr>
              <w:spacing w:line="276" w:lineRule="auto"/>
              <w:jc w:val="center"/>
            </w:pPr>
            <w:r>
              <w:rPr>
                <w:b/>
                <w:sz w:val="18"/>
              </w:rPr>
              <w:t>Standards &amp; Protocols</w:t>
            </w:r>
          </w:p>
        </w:tc>
        <w:tc>
          <w:tcPr>
            <w:tcW w:type="dxa" w:w="3168"/>
            <w:tcMar>
              <w:top w:w="80" w:type="dxa"/>
              <w:bottom w:w="80" w:type="dxa"/>
              <w:left w:w="100" w:type="dxa"/>
              <w:right w:w="100" w:type="dxa"/>
            </w:tcMar>
          </w:tcPr>
          <w:p>
            <w:pPr>
              <w:spacing w:line="276" w:lineRule="auto"/>
              <w:jc w:val="left"/>
            </w:pPr>
            <w:r>
              <w:rPr>
                <w:sz w:val="18"/>
              </w:rPr>
              <w:t>IEEE 802.11ax, IEEE 802.3, RFC 8259, ISO/IEC 25010</w:t>
            </w:r>
          </w:p>
        </w:tc>
        <w:tc>
          <w:tcPr>
            <w:tcW w:type="dxa" w:w="4032"/>
            <w:tcMar>
              <w:top w:w="80" w:type="dxa"/>
              <w:bottom w:w="80" w:type="dxa"/>
              <w:left w:w="100" w:type="dxa"/>
              <w:right w:w="100" w:type="dxa"/>
            </w:tcMar>
          </w:tcPr>
          <w:p>
            <w:pPr>
              <w:spacing w:line="276" w:lineRule="auto"/>
              <w:jc w:val="left"/>
            </w:pPr>
            <w:r>
              <w:rPr>
                <w:sz w:val="18"/>
              </w:rPr>
              <w:t>Strict JSON payloads, stateless REST contracts, and standard HTTP response status codes (200, 400, 500).</w:t>
            </w:r>
          </w:p>
        </w:tc>
      </w:tr>
      <w:tr>
        <w:tc>
          <w:tcPr>
            <w:tcW w:type="dxa" w:w="2592"/>
            <w:tcMar>
              <w:top w:w="80" w:type="dxa"/>
              <w:bottom w:w="80" w:type="dxa"/>
              <w:left w:w="100" w:type="dxa"/>
              <w:right w:w="100" w:type="dxa"/>
            </w:tcMar>
            <w:shd w:fill="F8FAFC"/>
          </w:tcPr>
          <w:p>
            <w:pPr>
              <w:spacing w:line="276" w:lineRule="auto"/>
              <w:jc w:val="center"/>
            </w:pPr>
            <w:r>
              <w:rPr>
                <w:b/>
                <w:sz w:val="18"/>
              </w:rPr>
              <w:t>Regulatory &amp; Legal</w:t>
            </w:r>
          </w:p>
        </w:tc>
        <w:tc>
          <w:tcPr>
            <w:tcW w:type="dxa" w:w="3168"/>
            <w:tcMar>
              <w:top w:w="80" w:type="dxa"/>
              <w:bottom w:w="80" w:type="dxa"/>
              <w:left w:w="100" w:type="dxa"/>
              <w:right w:w="100" w:type="dxa"/>
            </w:tcMar>
            <w:shd w:fill="F8FAFC"/>
          </w:tcPr>
          <w:p>
            <w:pPr>
              <w:spacing w:line="276" w:lineRule="auto"/>
              <w:jc w:val="left"/>
            </w:pPr>
            <w:r>
              <w:rPr>
                <w:sz w:val="18"/>
              </w:rPr>
              <w:t>EU AI Act (2024), GDPR Article 22, US EEOC Guidelines</w:t>
            </w:r>
          </w:p>
        </w:tc>
        <w:tc>
          <w:tcPr>
            <w:tcW w:type="dxa" w:w="4032"/>
            <w:tcMar>
              <w:top w:w="80" w:type="dxa"/>
              <w:bottom w:w="80" w:type="dxa"/>
              <w:left w:w="100" w:type="dxa"/>
              <w:right w:w="100" w:type="dxa"/>
            </w:tcMar>
            <w:shd w:fill="F8FAFC"/>
          </w:tcPr>
          <w:p>
            <w:pPr>
              <w:spacing w:line="276" w:lineRule="auto"/>
              <w:jc w:val="left"/>
            </w:pPr>
            <w:r>
              <w:rPr>
                <w:sz w:val="18"/>
              </w:rPr>
              <w:t>Elimination of all protected demographic data; deterministic explainability logs; mandatory human-in-the-loop execution.</w:t>
            </w:r>
          </w:p>
        </w:tc>
      </w:tr>
      <w:tr>
        <w:tc>
          <w:tcPr>
            <w:tcW w:type="dxa" w:w="2592"/>
            <w:tcMar>
              <w:top w:w="80" w:type="dxa"/>
              <w:bottom w:w="80" w:type="dxa"/>
              <w:left w:w="100" w:type="dxa"/>
              <w:right w:w="100" w:type="dxa"/>
            </w:tcMar>
          </w:tcPr>
          <w:p>
            <w:pPr>
              <w:spacing w:line="276" w:lineRule="auto"/>
              <w:jc w:val="center"/>
            </w:pPr>
            <w:r>
              <w:rPr>
                <w:b/>
                <w:sz w:val="18"/>
              </w:rPr>
              <w:t>Economic &amp; Cost</w:t>
            </w:r>
          </w:p>
        </w:tc>
        <w:tc>
          <w:tcPr>
            <w:tcW w:type="dxa" w:w="3168"/>
            <w:tcMar>
              <w:top w:w="80" w:type="dxa"/>
              <w:bottom w:w="80" w:type="dxa"/>
              <w:left w:w="100" w:type="dxa"/>
              <w:right w:w="100" w:type="dxa"/>
            </w:tcMar>
          </w:tcPr>
          <w:p>
            <w:pPr>
              <w:spacing w:line="276" w:lineRule="auto"/>
              <w:jc w:val="left"/>
            </w:pPr>
            <w:r>
              <w:rPr>
                <w:sz w:val="18"/>
              </w:rPr>
              <w:t>Minimal infrastructure footprint; zero recurring per-seat licensing fees</w:t>
            </w:r>
          </w:p>
        </w:tc>
        <w:tc>
          <w:tcPr>
            <w:tcW w:type="dxa" w:w="4032"/>
            <w:tcMar>
              <w:top w:w="80" w:type="dxa"/>
              <w:bottom w:w="80" w:type="dxa"/>
              <w:left w:w="100" w:type="dxa"/>
              <w:right w:w="100" w:type="dxa"/>
            </w:tcMar>
          </w:tcPr>
          <w:p>
            <w:pPr>
              <w:spacing w:line="276" w:lineRule="auto"/>
              <w:jc w:val="left"/>
            </w:pPr>
            <w:r>
              <w:rPr>
                <w:sz w:val="18"/>
              </w:rPr>
              <w:t>Utilizes open-source stacks (Python, Scikit-Learn, React, Vite); lightweight server capable of hosting on single vCPU instances.</w:t>
            </w:r>
          </w:p>
        </w:tc>
      </w:tr>
      <w:tr>
        <w:tc>
          <w:tcPr>
            <w:tcW w:type="dxa" w:w="2592"/>
            <w:tcMar>
              <w:top w:w="80" w:type="dxa"/>
              <w:bottom w:w="80" w:type="dxa"/>
              <w:left w:w="100" w:type="dxa"/>
              <w:right w:w="100" w:type="dxa"/>
            </w:tcMar>
            <w:shd w:fill="F8FAFC"/>
          </w:tcPr>
          <w:p>
            <w:pPr>
              <w:spacing w:line="276" w:lineRule="auto"/>
              <w:jc w:val="center"/>
            </w:pPr>
            <w:r>
              <w:rPr>
                <w:b/>
                <w:sz w:val="18"/>
              </w:rPr>
              <w:t>Environmental</w:t>
            </w:r>
          </w:p>
        </w:tc>
        <w:tc>
          <w:tcPr>
            <w:tcW w:type="dxa" w:w="3168"/>
            <w:tcMar>
              <w:top w:w="80" w:type="dxa"/>
              <w:bottom w:w="80" w:type="dxa"/>
              <w:left w:w="100" w:type="dxa"/>
              <w:right w:w="100" w:type="dxa"/>
            </w:tcMar>
            <w:shd w:fill="F8FAFC"/>
          </w:tcPr>
          <w:p>
            <w:pPr>
              <w:spacing w:line="276" w:lineRule="auto"/>
              <w:jc w:val="left"/>
            </w:pPr>
            <w:r>
              <w:rPr>
                <w:sz w:val="18"/>
              </w:rPr>
              <w:t>Green Computing &amp; low carbon compute footprint</w:t>
            </w:r>
          </w:p>
        </w:tc>
        <w:tc>
          <w:tcPr>
            <w:tcW w:type="dxa" w:w="4032"/>
            <w:tcMar>
              <w:top w:w="80" w:type="dxa"/>
              <w:bottom w:w="80" w:type="dxa"/>
              <w:left w:w="100" w:type="dxa"/>
              <w:right w:w="100" w:type="dxa"/>
            </w:tcMar>
            <w:shd w:fill="F8FAFC"/>
          </w:tcPr>
          <w:p>
            <w:pPr>
              <w:spacing w:line="276" w:lineRule="auto"/>
              <w:jc w:val="left"/>
            </w:pPr>
            <w:r>
              <w:rPr>
                <w:sz w:val="18"/>
              </w:rPr>
              <w:t>Lightweight tree-based ensemble inference requiring &lt;0.001 kWh per 10,000 predictions, avoiding energy-intensive deep learning GPUs.</w:t>
            </w:r>
          </w:p>
        </w:tc>
      </w:tr>
      <w:tr>
        <w:tc>
          <w:tcPr>
            <w:tcW w:type="dxa" w:w="2592"/>
            <w:tcMar>
              <w:top w:w="80" w:type="dxa"/>
              <w:bottom w:w="80" w:type="dxa"/>
              <w:left w:w="100" w:type="dxa"/>
              <w:right w:w="100" w:type="dxa"/>
            </w:tcMar>
          </w:tcPr>
          <w:p>
            <w:pPr>
              <w:spacing w:line="276" w:lineRule="auto"/>
              <w:jc w:val="center"/>
            </w:pPr>
            <w:r>
              <w:rPr>
                <w:b/>
                <w:sz w:val="18"/>
              </w:rPr>
              <w:t>Health &amp; Ergonomics</w:t>
            </w:r>
          </w:p>
        </w:tc>
        <w:tc>
          <w:tcPr>
            <w:tcW w:type="dxa" w:w="3168"/>
            <w:tcMar>
              <w:top w:w="80" w:type="dxa"/>
              <w:bottom w:w="80" w:type="dxa"/>
              <w:left w:w="100" w:type="dxa"/>
              <w:right w:w="100" w:type="dxa"/>
            </w:tcMar>
          </w:tcPr>
          <w:p>
            <w:pPr>
              <w:spacing w:line="276" w:lineRule="auto"/>
              <w:jc w:val="left"/>
            </w:pPr>
            <w:r>
              <w:rPr>
                <w:sz w:val="18"/>
              </w:rPr>
              <w:t>W3C WCAG 2.1 AA accessibility guidelines</w:t>
            </w:r>
          </w:p>
        </w:tc>
        <w:tc>
          <w:tcPr>
            <w:tcW w:type="dxa" w:w="4032"/>
            <w:tcMar>
              <w:top w:w="80" w:type="dxa"/>
              <w:bottom w:w="80" w:type="dxa"/>
              <w:left w:w="100" w:type="dxa"/>
              <w:right w:w="100" w:type="dxa"/>
            </w:tcMar>
          </w:tcPr>
          <w:p>
            <w:pPr>
              <w:spacing w:line="276" w:lineRule="auto"/>
              <w:jc w:val="left"/>
            </w:pPr>
            <w:r>
              <w:rPr>
                <w:sz w:val="18"/>
              </w:rPr>
              <w:t>High-contrast visual tokens, dark/light theme switching, full keyboard navigation, and responsive touch targets (&gt;44px).</w:t>
            </w:r>
          </w:p>
        </w:tc>
      </w:tr>
      <w:tr>
        <w:tc>
          <w:tcPr>
            <w:tcW w:type="dxa" w:w="2592"/>
            <w:tcMar>
              <w:top w:w="80" w:type="dxa"/>
              <w:bottom w:w="80" w:type="dxa"/>
              <w:left w:w="100" w:type="dxa"/>
              <w:right w:w="100" w:type="dxa"/>
            </w:tcMar>
            <w:shd w:fill="F8FAFC"/>
          </w:tcPr>
          <w:p>
            <w:pPr>
              <w:spacing w:line="276" w:lineRule="auto"/>
              <w:jc w:val="center"/>
            </w:pPr>
            <w:r>
              <w:rPr>
                <w:b/>
                <w:sz w:val="18"/>
              </w:rPr>
              <w:t>Deployability</w:t>
            </w:r>
          </w:p>
        </w:tc>
        <w:tc>
          <w:tcPr>
            <w:tcW w:type="dxa" w:w="3168"/>
            <w:tcMar>
              <w:top w:w="80" w:type="dxa"/>
              <w:bottom w:w="80" w:type="dxa"/>
              <w:left w:w="100" w:type="dxa"/>
              <w:right w:w="100" w:type="dxa"/>
            </w:tcMar>
            <w:shd w:fill="F8FAFC"/>
          </w:tcPr>
          <w:p>
            <w:pPr>
              <w:spacing w:line="276" w:lineRule="auto"/>
              <w:jc w:val="left"/>
            </w:pPr>
            <w:r>
              <w:rPr>
                <w:sz w:val="18"/>
              </w:rPr>
              <w:t>Cross-platform zero-dependency Windows/Linux deployment</w:t>
            </w:r>
          </w:p>
        </w:tc>
        <w:tc>
          <w:tcPr>
            <w:tcW w:type="dxa" w:w="4032"/>
            <w:tcMar>
              <w:top w:w="80" w:type="dxa"/>
              <w:bottom w:w="80" w:type="dxa"/>
              <w:left w:w="100" w:type="dxa"/>
              <w:right w:w="100" w:type="dxa"/>
            </w:tcMar>
            <w:shd w:fill="F8FAFC"/>
          </w:tcPr>
          <w:p>
            <w:pPr>
              <w:spacing w:line="276" w:lineRule="auto"/>
              <w:jc w:val="left"/>
            </w:pPr>
            <w:r>
              <w:rPr>
                <w:sz w:val="18"/>
              </w:rPr>
              <w:t>Standalone virtual environment (.venv) with pinned wheels and one-click shell/batch startup scripts (run_dev.bat).</w:t>
            </w:r>
          </w:p>
        </w:tc>
      </w:tr>
      <w:tr>
        <w:tc>
          <w:tcPr>
            <w:tcW w:type="dxa" w:w="2592"/>
            <w:tcMar>
              <w:top w:w="80" w:type="dxa"/>
              <w:bottom w:w="80" w:type="dxa"/>
              <w:left w:w="100" w:type="dxa"/>
              <w:right w:w="100" w:type="dxa"/>
            </w:tcMar>
          </w:tcPr>
          <w:p>
            <w:pPr>
              <w:spacing w:line="276" w:lineRule="auto"/>
              <w:jc w:val="center"/>
            </w:pPr>
            <w:r>
              <w:rPr>
                <w:b/>
                <w:sz w:val="18"/>
              </w:rPr>
              <w:t>Safety &amp; Integrity</w:t>
            </w:r>
          </w:p>
        </w:tc>
        <w:tc>
          <w:tcPr>
            <w:tcW w:type="dxa" w:w="3168"/>
            <w:tcMar>
              <w:top w:w="80" w:type="dxa"/>
              <w:bottom w:w="80" w:type="dxa"/>
              <w:left w:w="100" w:type="dxa"/>
              <w:right w:w="100" w:type="dxa"/>
            </w:tcMar>
          </w:tcPr>
          <w:p>
            <w:pPr>
              <w:spacing w:line="276" w:lineRule="auto"/>
              <w:jc w:val="left"/>
            </w:pPr>
            <w:r>
              <w:rPr>
                <w:sz w:val="18"/>
              </w:rPr>
              <w:t>Input boundary sanitization &amp; arithmetic invariants</w:t>
            </w:r>
          </w:p>
        </w:tc>
        <w:tc>
          <w:tcPr>
            <w:tcW w:type="dxa" w:w="4032"/>
            <w:tcMar>
              <w:top w:w="80" w:type="dxa"/>
              <w:bottom w:w="80" w:type="dxa"/>
              <w:left w:w="100" w:type="dxa"/>
              <w:right w:w="100" w:type="dxa"/>
            </w:tcMar>
          </w:tcPr>
          <w:p>
            <w:pPr>
              <w:spacing w:line="276" w:lineRule="auto"/>
              <w:jc w:val="left"/>
            </w:pPr>
            <w:r>
              <w:rPr>
                <w:sz w:val="18"/>
              </w:rPr>
              <w:t>Strict validation rejecting negative salaries, invalid ratings (&lt;1.0 or &gt;5.0), and non-string roles; bounded increment projections (5.0% ≤ ŷ ≤ 35.0%).</w:t>
            </w:r>
          </w:p>
        </w:tc>
      </w:tr>
      <w:tr>
        <w:tc>
          <w:tcPr>
            <w:tcW w:type="dxa" w:w="2592"/>
            <w:tcMar>
              <w:top w:w="80" w:type="dxa"/>
              <w:bottom w:w="80" w:type="dxa"/>
              <w:left w:w="100" w:type="dxa"/>
              <w:right w:w="100" w:type="dxa"/>
            </w:tcMar>
            <w:shd w:fill="F8FAFC"/>
          </w:tcPr>
          <w:p>
            <w:pPr>
              <w:spacing w:line="276" w:lineRule="auto"/>
              <w:jc w:val="center"/>
            </w:pPr>
            <w:r>
              <w:rPr>
                <w:b/>
                <w:sz w:val="18"/>
              </w:rPr>
              <w:t>Professional / Ethical</w:t>
            </w:r>
          </w:p>
        </w:tc>
        <w:tc>
          <w:tcPr>
            <w:tcW w:type="dxa" w:w="3168"/>
            <w:tcMar>
              <w:top w:w="80" w:type="dxa"/>
              <w:bottom w:w="80" w:type="dxa"/>
              <w:left w:w="100" w:type="dxa"/>
              <w:right w:w="100" w:type="dxa"/>
            </w:tcMar>
            <w:shd w:fill="F8FAFC"/>
          </w:tcPr>
          <w:p>
            <w:pPr>
              <w:spacing w:line="276" w:lineRule="auto"/>
              <w:jc w:val="left"/>
            </w:pPr>
            <w:r>
              <w:rPr>
                <w:sz w:val="18"/>
              </w:rPr>
              <w:t>Non-discriminatory algorithmic compensation</w:t>
            </w:r>
          </w:p>
        </w:tc>
        <w:tc>
          <w:tcPr>
            <w:tcW w:type="dxa" w:w="4032"/>
            <w:tcMar>
              <w:top w:w="80" w:type="dxa"/>
              <w:bottom w:w="80" w:type="dxa"/>
              <w:left w:w="100" w:type="dxa"/>
              <w:right w:w="100" w:type="dxa"/>
            </w:tcMar>
            <w:shd w:fill="F8FAFC"/>
          </w:tcPr>
          <w:p>
            <w:pPr>
              <w:spacing w:line="276" w:lineRule="auto"/>
              <w:jc w:val="left"/>
            </w:pPr>
            <w:r>
              <w:rPr>
                <w:sz w:val="18"/>
              </w:rPr>
              <w:t>Objective merit calibration based solely on verified performance, tenure, and market domain scarcity.</w:t>
            </w:r>
          </w:p>
        </w:tc>
      </w:tr>
    </w:tbl>
    <w:p>
      <w:pPr>
        <w:spacing w:line="360" w:lineRule="auto" w:after="160"/>
        <w:jc w:val="both"/>
      </w:pPr>
      <w:r>
        <w:rPr>
          <w:rFonts w:ascii="Times New Roman" w:hAnsi="Times New Roman"/>
          <w:sz w:val="24"/>
        </w:rPr>
        <w:br/>
        <w:t>Table 3.1: Comprehensive Design Constraints &amp; Regulatory Specifications Matrix.</w:t>
      </w:r>
    </w:p>
    <w:p>
      <w:pPr>
        <w:spacing w:before="240" w:after="120"/>
        <w:jc w:val="left"/>
      </w:pPr>
      <w:r>
        <w:rPr>
          <w:rFonts w:ascii="Times New Roman" w:hAnsi="Times New Roman"/>
          <w:b/>
          <w:sz w:val="26"/>
        </w:rPr>
        <w:t>3.3 Analysis of Features and Finalization Subject to Constraints</w:t>
      </w:r>
    </w:p>
    <w:p>
      <w:pPr>
        <w:spacing w:line="360" w:lineRule="auto" w:after="160"/>
        <w:jc w:val="both"/>
      </w:pPr>
      <w:r>
        <w:rPr>
          <w:rFonts w:ascii="Times New Roman" w:hAnsi="Times New Roman"/>
          <w:sz w:val="24"/>
        </w:rPr>
        <w:t>Subject to the constraints identified in Table 3.1, candidate features were organized into two distinct production configurations:</w:t>
        <w:br/>
        <w:t>• Configuration A: Core Model (3 Features): Strictly restricted to Experience, Rating, and Job Roles. This configuration satisfies minimal data collection environments where baseline salary confidentiality is enforced.</w:t>
        <w:br/>
        <w:t>• Configuration B: Full Model (7 Features): Expands the core attributes with Salary, Salaries Reported, Employment Status, and Location. This configuration serves as the primary enterprise production engine, providing comprehensive non-linear market calibration.</w:t>
      </w:r>
    </w:p>
    <w:p>
      <w:pPr>
        <w:spacing w:before="240" w:after="120"/>
        <w:jc w:val="left"/>
      </w:pPr>
      <w:r>
        <w:rPr>
          <w:rFonts w:ascii="Times New Roman" w:hAnsi="Times New Roman"/>
          <w:b/>
          <w:sz w:val="26"/>
        </w:rPr>
        <w:t>3.4 Design Flow (Architectural Alternatives)</w:t>
      </w:r>
    </w:p>
    <w:p>
      <w:pPr>
        <w:spacing w:line="360" w:lineRule="auto" w:after="160"/>
        <w:jc w:val="both"/>
      </w:pPr>
      <w:r>
        <w:rPr>
          <w:rFonts w:ascii="Times New Roman" w:hAnsi="Times New Roman"/>
          <w:sz w:val="24"/>
        </w:rPr>
        <w:t>Two distinct system architectures were conceptualized and evaluated:</w:t>
        <w:br/>
        <w:t>• Alternative Architecture 1 (Monolithic Synchronous Server): A unified monolithic server where the frontend is server-side rendered (Jinja2 templates) and tightly coupled with a Flask/Django backend running a single Ordinary Least Squares regression model.</w:t>
        <w:br/>
        <w:t>• Alternative Architecture 2 (Decoupled Microservice with Dual-Model Benchmarking - Selected): A decoupled, asynchronous architecture featuring a standalone Python HTTP REST microservice and an independent React 18/TypeScript Single Page Application (SPA). The backend runs both Gradient Boosting and Linear Regression models in parallel for every request, logging execution to an in-memory telemetry buffer. The frontend includes a client-side heuristic engine to maintain full interactivity during network interruptions.</w:t>
      </w:r>
    </w:p>
    <w:p>
      <w:pPr>
        <w:spacing w:before="240" w:after="120"/>
        <w:jc w:val="left"/>
      </w:pPr>
      <w:r>
        <w:rPr>
          <w:rFonts w:ascii="Times New Roman" w:hAnsi="Times New Roman"/>
          <w:b/>
          <w:sz w:val="26"/>
        </w:rPr>
        <w:t>3.5 Design Selection</w:t>
      </w:r>
    </w:p>
    <w:p>
      <w:pPr>
        <w:spacing w:line="360" w:lineRule="auto" w:after="160"/>
        <w:jc w:val="both"/>
      </w:pPr>
      <w:r>
        <w:rPr>
          <w:rFonts w:ascii="Times New Roman" w:hAnsi="Times New Roman"/>
          <w:sz w:val="24"/>
        </w:rPr>
        <w:t>To objectively select between the alternatives, a quantitative trade-off evaluation was conducted across five critical engineering criteria.</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tblBorders>
      </w:tblPr>
      <w:tblGrid>
        <w:gridCol w:w="1800"/>
        <w:gridCol w:w="1800"/>
        <w:gridCol w:w="1800"/>
        <w:gridCol w:w="1800"/>
        <w:gridCol w:w="1800"/>
      </w:tblGrid>
      <w:tr>
        <w:tc>
          <w:tcPr>
            <w:tcW w:type="dxa" w:w="2592"/>
            <w:shd w:fill="E2E8F0"/>
          </w:tcPr>
          <w:p>
            <w:pPr>
              <w:jc w:val="center"/>
            </w:pPr>
            <w:r>
              <w:rPr>
                <w:b/>
                <w:sz w:val="19"/>
              </w:rPr>
              <w:t>Criteria</w:t>
            </w:r>
          </w:p>
        </w:tc>
        <w:tc>
          <w:tcPr>
            <w:tcW w:type="dxa" w:w="1152"/>
            <w:shd w:fill="E2E8F0"/>
          </w:tcPr>
          <w:p>
            <w:pPr>
              <w:jc w:val="center"/>
            </w:pPr>
            <w:r>
              <w:rPr>
                <w:b/>
                <w:sz w:val="19"/>
              </w:rPr>
              <w:t>Weight</w:t>
            </w:r>
          </w:p>
        </w:tc>
        <w:tc>
          <w:tcPr>
            <w:tcW w:type="dxa" w:w="1728"/>
            <w:shd w:fill="E2E8F0"/>
          </w:tcPr>
          <w:p>
            <w:pPr>
              <w:jc w:val="center"/>
            </w:pPr>
            <w:r>
              <w:rPr>
                <w:b/>
                <w:sz w:val="19"/>
              </w:rPr>
              <w:t>Arch 1 (Flask)</w:t>
            </w:r>
          </w:p>
        </w:tc>
        <w:tc>
          <w:tcPr>
            <w:tcW w:type="dxa" w:w="1728"/>
            <w:shd w:fill="E2E8F0"/>
          </w:tcPr>
          <w:p>
            <w:pPr>
              <w:jc w:val="center"/>
            </w:pPr>
            <w:r>
              <w:rPr>
                <w:b/>
                <w:sz w:val="19"/>
              </w:rPr>
              <w:t>Arch 2 (Dual Microservice)</w:t>
            </w:r>
          </w:p>
        </w:tc>
        <w:tc>
          <w:tcPr>
            <w:tcW w:type="dxa" w:w="2592"/>
            <w:shd w:fill="E2E8F0"/>
          </w:tcPr>
          <w:p>
            <w:pPr>
              <w:jc w:val="center"/>
            </w:pPr>
            <w:r>
              <w:rPr>
                <w:b/>
                <w:sz w:val="19"/>
              </w:rPr>
              <w:t>Selection Justification</w:t>
            </w:r>
          </w:p>
        </w:tc>
      </w:tr>
      <w:tr>
        <w:tc>
          <w:tcPr>
            <w:tcW w:type="dxa" w:w="2592"/>
            <w:tcMar>
              <w:top w:w="80" w:type="dxa"/>
              <w:bottom w:w="80" w:type="dxa"/>
              <w:left w:w="100" w:type="dxa"/>
              <w:right w:w="100" w:type="dxa"/>
            </w:tcMar>
          </w:tcPr>
          <w:p>
            <w:pPr>
              <w:spacing w:line="276" w:lineRule="auto"/>
              <w:jc w:val="left"/>
            </w:pPr>
            <w:r>
              <w:rPr>
                <w:b/>
                <w:sz w:val="18"/>
              </w:rPr>
              <w:t>Predictive Rigor &amp; Accuracy</w:t>
            </w:r>
          </w:p>
        </w:tc>
        <w:tc>
          <w:tcPr>
            <w:tcW w:type="dxa" w:w="1152"/>
            <w:tcMar>
              <w:top w:w="80" w:type="dxa"/>
              <w:bottom w:w="80" w:type="dxa"/>
              <w:left w:w="100" w:type="dxa"/>
              <w:right w:w="100" w:type="dxa"/>
            </w:tcMar>
          </w:tcPr>
          <w:p>
            <w:pPr>
              <w:spacing w:line="276" w:lineRule="auto"/>
              <w:jc w:val="center"/>
            </w:pPr>
            <w:r>
              <w:rPr>
                <w:sz w:val="18"/>
              </w:rPr>
              <w:t>30%</w:t>
            </w:r>
          </w:p>
        </w:tc>
        <w:tc>
          <w:tcPr>
            <w:tcW w:type="dxa" w:w="1728"/>
            <w:tcMar>
              <w:top w:w="80" w:type="dxa"/>
              <w:bottom w:w="80" w:type="dxa"/>
              <w:left w:w="100" w:type="dxa"/>
              <w:right w:w="100" w:type="dxa"/>
            </w:tcMar>
          </w:tcPr>
          <w:p>
            <w:pPr>
              <w:spacing w:line="276" w:lineRule="auto"/>
              <w:jc w:val="center"/>
            </w:pPr>
            <w:r>
              <w:rPr>
                <w:sz w:val="18"/>
              </w:rPr>
              <w:t>4 / 10</w:t>
            </w:r>
          </w:p>
        </w:tc>
        <w:tc>
          <w:tcPr>
            <w:tcW w:type="dxa" w:w="1728"/>
            <w:tcMar>
              <w:top w:w="80" w:type="dxa"/>
              <w:bottom w:w="80" w:type="dxa"/>
              <w:left w:w="100" w:type="dxa"/>
              <w:right w:w="100" w:type="dxa"/>
            </w:tcMar>
          </w:tcPr>
          <w:p>
            <w:pPr>
              <w:spacing w:line="276" w:lineRule="auto"/>
              <w:jc w:val="center"/>
            </w:pPr>
            <w:r>
              <w:rPr>
                <w:sz w:val="18"/>
              </w:rPr>
              <w:t>9 / 10</w:t>
            </w:r>
          </w:p>
        </w:tc>
        <w:tc>
          <w:tcPr>
            <w:tcW w:type="dxa" w:w="2592"/>
            <w:tcMar>
              <w:top w:w="80" w:type="dxa"/>
              <w:bottom w:w="80" w:type="dxa"/>
              <w:left w:w="100" w:type="dxa"/>
              <w:right w:w="100" w:type="dxa"/>
            </w:tcMar>
          </w:tcPr>
          <w:p>
            <w:pPr>
              <w:spacing w:line="276" w:lineRule="auto"/>
              <w:jc w:val="left"/>
            </w:pPr>
            <w:r>
              <w:rPr>
                <w:sz w:val="18"/>
              </w:rPr>
              <w:t>Arch 2 integrates Gradient Boosting ensembling, outperforming single linear models by over 12% in RMSE.</w:t>
            </w:r>
          </w:p>
        </w:tc>
      </w:tr>
      <w:tr>
        <w:tc>
          <w:tcPr>
            <w:tcW w:type="dxa" w:w="2592"/>
            <w:tcMar>
              <w:top w:w="80" w:type="dxa"/>
              <w:bottom w:w="80" w:type="dxa"/>
              <w:left w:w="100" w:type="dxa"/>
              <w:right w:w="100" w:type="dxa"/>
            </w:tcMar>
            <w:shd w:fill="F8FAFC"/>
          </w:tcPr>
          <w:p>
            <w:pPr>
              <w:spacing w:line="276" w:lineRule="auto"/>
              <w:jc w:val="left"/>
            </w:pPr>
            <w:r>
              <w:rPr>
                <w:b/>
                <w:sz w:val="18"/>
              </w:rPr>
              <w:t>System Resilience &amp; Availability</w:t>
            </w:r>
          </w:p>
        </w:tc>
        <w:tc>
          <w:tcPr>
            <w:tcW w:type="dxa" w:w="1152"/>
            <w:tcMar>
              <w:top w:w="80" w:type="dxa"/>
              <w:bottom w:w="80" w:type="dxa"/>
              <w:left w:w="100" w:type="dxa"/>
              <w:right w:w="100" w:type="dxa"/>
            </w:tcMar>
            <w:shd w:fill="F8FAFC"/>
          </w:tcPr>
          <w:p>
            <w:pPr>
              <w:spacing w:line="276" w:lineRule="auto"/>
              <w:jc w:val="center"/>
            </w:pPr>
            <w:r>
              <w:rPr>
                <w:sz w:val="18"/>
              </w:rPr>
              <w:t>25%</w:t>
            </w:r>
          </w:p>
        </w:tc>
        <w:tc>
          <w:tcPr>
            <w:tcW w:type="dxa" w:w="1728"/>
            <w:tcMar>
              <w:top w:w="80" w:type="dxa"/>
              <w:bottom w:w="80" w:type="dxa"/>
              <w:left w:w="100" w:type="dxa"/>
              <w:right w:w="100" w:type="dxa"/>
            </w:tcMar>
            <w:shd w:fill="F8FAFC"/>
          </w:tcPr>
          <w:p>
            <w:pPr>
              <w:spacing w:line="276" w:lineRule="auto"/>
              <w:jc w:val="center"/>
            </w:pPr>
            <w:r>
              <w:rPr>
                <w:sz w:val="18"/>
              </w:rPr>
              <w:t>5 / 10</w:t>
            </w:r>
          </w:p>
        </w:tc>
        <w:tc>
          <w:tcPr>
            <w:tcW w:type="dxa" w:w="1728"/>
            <w:tcMar>
              <w:top w:w="80" w:type="dxa"/>
              <w:bottom w:w="80" w:type="dxa"/>
              <w:left w:w="100" w:type="dxa"/>
              <w:right w:w="100" w:type="dxa"/>
            </w:tcMar>
            <w:shd w:fill="F8FAFC"/>
          </w:tcPr>
          <w:p>
            <w:pPr>
              <w:spacing w:line="276" w:lineRule="auto"/>
              <w:jc w:val="center"/>
            </w:pPr>
            <w:r>
              <w:rPr>
                <w:sz w:val="18"/>
              </w:rPr>
              <w:t>9.5 / 10</w:t>
            </w:r>
          </w:p>
        </w:tc>
        <w:tc>
          <w:tcPr>
            <w:tcW w:type="dxa" w:w="2592"/>
            <w:tcMar>
              <w:top w:w="80" w:type="dxa"/>
              <w:bottom w:w="80" w:type="dxa"/>
              <w:left w:w="100" w:type="dxa"/>
              <w:right w:w="100" w:type="dxa"/>
            </w:tcMar>
            <w:shd w:fill="F8FAFC"/>
          </w:tcPr>
          <w:p>
            <w:pPr>
              <w:spacing w:line="276" w:lineRule="auto"/>
              <w:jc w:val="left"/>
            </w:pPr>
            <w:r>
              <w:rPr>
                <w:sz w:val="18"/>
              </w:rPr>
              <w:t>Arch 2 features independent client-side fallback, ensuring continuous availability even if the backend stops.</w:t>
            </w:r>
          </w:p>
        </w:tc>
      </w:tr>
      <w:tr>
        <w:tc>
          <w:tcPr>
            <w:tcW w:type="dxa" w:w="2592"/>
            <w:tcMar>
              <w:top w:w="80" w:type="dxa"/>
              <w:bottom w:w="80" w:type="dxa"/>
              <w:left w:w="100" w:type="dxa"/>
              <w:right w:w="100" w:type="dxa"/>
            </w:tcMar>
          </w:tcPr>
          <w:p>
            <w:pPr>
              <w:spacing w:line="276" w:lineRule="auto"/>
              <w:jc w:val="left"/>
            </w:pPr>
            <w:r>
              <w:rPr>
                <w:b/>
                <w:sz w:val="18"/>
              </w:rPr>
              <w:t>Auditability &amp; Explainability</w:t>
            </w:r>
          </w:p>
        </w:tc>
        <w:tc>
          <w:tcPr>
            <w:tcW w:type="dxa" w:w="1152"/>
            <w:tcMar>
              <w:top w:w="80" w:type="dxa"/>
              <w:bottom w:w="80" w:type="dxa"/>
              <w:left w:w="100" w:type="dxa"/>
              <w:right w:w="100" w:type="dxa"/>
            </w:tcMar>
          </w:tcPr>
          <w:p>
            <w:pPr>
              <w:spacing w:line="276" w:lineRule="auto"/>
              <w:jc w:val="center"/>
            </w:pPr>
            <w:r>
              <w:rPr>
                <w:sz w:val="18"/>
              </w:rPr>
              <w:t>20%</w:t>
            </w:r>
          </w:p>
        </w:tc>
        <w:tc>
          <w:tcPr>
            <w:tcW w:type="dxa" w:w="1728"/>
            <w:tcMar>
              <w:top w:w="80" w:type="dxa"/>
              <w:bottom w:w="80" w:type="dxa"/>
              <w:left w:w="100" w:type="dxa"/>
              <w:right w:w="100" w:type="dxa"/>
            </w:tcMar>
          </w:tcPr>
          <w:p>
            <w:pPr>
              <w:spacing w:line="276" w:lineRule="auto"/>
              <w:jc w:val="center"/>
            </w:pPr>
            <w:r>
              <w:rPr>
                <w:sz w:val="18"/>
              </w:rPr>
              <w:t>6 / 10</w:t>
            </w:r>
          </w:p>
        </w:tc>
        <w:tc>
          <w:tcPr>
            <w:tcW w:type="dxa" w:w="1728"/>
            <w:tcMar>
              <w:top w:w="80" w:type="dxa"/>
              <w:bottom w:w="80" w:type="dxa"/>
              <w:left w:w="100" w:type="dxa"/>
              <w:right w:w="100" w:type="dxa"/>
            </w:tcMar>
          </w:tcPr>
          <w:p>
            <w:pPr>
              <w:spacing w:line="276" w:lineRule="auto"/>
              <w:jc w:val="center"/>
            </w:pPr>
            <w:r>
              <w:rPr>
                <w:sz w:val="18"/>
              </w:rPr>
              <w:t>9 / 10</w:t>
            </w:r>
          </w:p>
        </w:tc>
        <w:tc>
          <w:tcPr>
            <w:tcW w:type="dxa" w:w="2592"/>
            <w:tcMar>
              <w:top w:w="80" w:type="dxa"/>
              <w:bottom w:w="80" w:type="dxa"/>
              <w:left w:w="100" w:type="dxa"/>
              <w:right w:w="100" w:type="dxa"/>
            </w:tcMar>
          </w:tcPr>
          <w:p>
            <w:pPr>
              <w:spacing w:line="276" w:lineRule="auto"/>
              <w:jc w:val="left"/>
            </w:pPr>
            <w:r>
              <w:rPr>
                <w:sz w:val="18"/>
              </w:rPr>
              <w:t>Dual-model comparison exposes divergence between linear trends and non-linear predictions in real time.</w:t>
            </w:r>
          </w:p>
        </w:tc>
      </w:tr>
      <w:tr>
        <w:tc>
          <w:tcPr>
            <w:tcW w:type="dxa" w:w="2592"/>
            <w:tcMar>
              <w:top w:w="80" w:type="dxa"/>
              <w:bottom w:w="80" w:type="dxa"/>
              <w:left w:w="100" w:type="dxa"/>
              <w:right w:w="100" w:type="dxa"/>
            </w:tcMar>
            <w:shd w:fill="F8FAFC"/>
          </w:tcPr>
          <w:p>
            <w:pPr>
              <w:spacing w:line="276" w:lineRule="auto"/>
              <w:jc w:val="left"/>
            </w:pPr>
            <w:r>
              <w:rPr>
                <w:b/>
                <w:sz w:val="18"/>
              </w:rPr>
              <w:t>UI Responsiveness &amp; UX</w:t>
            </w:r>
          </w:p>
        </w:tc>
        <w:tc>
          <w:tcPr>
            <w:tcW w:type="dxa" w:w="1152"/>
            <w:tcMar>
              <w:top w:w="80" w:type="dxa"/>
              <w:bottom w:w="80" w:type="dxa"/>
              <w:left w:w="100" w:type="dxa"/>
              <w:right w:w="100" w:type="dxa"/>
            </w:tcMar>
            <w:shd w:fill="F8FAFC"/>
          </w:tcPr>
          <w:p>
            <w:pPr>
              <w:spacing w:line="276" w:lineRule="auto"/>
              <w:jc w:val="center"/>
            </w:pPr>
            <w:r>
              <w:rPr>
                <w:sz w:val="18"/>
              </w:rPr>
              <w:t>15%</w:t>
            </w:r>
          </w:p>
        </w:tc>
        <w:tc>
          <w:tcPr>
            <w:tcW w:type="dxa" w:w="1728"/>
            <w:tcMar>
              <w:top w:w="80" w:type="dxa"/>
              <w:bottom w:w="80" w:type="dxa"/>
              <w:left w:w="100" w:type="dxa"/>
              <w:right w:w="100" w:type="dxa"/>
            </w:tcMar>
            <w:shd w:fill="F8FAFC"/>
          </w:tcPr>
          <w:p>
            <w:pPr>
              <w:spacing w:line="276" w:lineRule="auto"/>
              <w:jc w:val="center"/>
            </w:pPr>
            <w:r>
              <w:rPr>
                <w:sz w:val="18"/>
              </w:rPr>
              <w:t>5 / 10</w:t>
            </w:r>
          </w:p>
        </w:tc>
        <w:tc>
          <w:tcPr>
            <w:tcW w:type="dxa" w:w="1728"/>
            <w:tcMar>
              <w:top w:w="80" w:type="dxa"/>
              <w:bottom w:w="80" w:type="dxa"/>
              <w:left w:w="100" w:type="dxa"/>
              <w:right w:w="100" w:type="dxa"/>
            </w:tcMar>
            <w:shd w:fill="F8FAFC"/>
          </w:tcPr>
          <w:p>
            <w:pPr>
              <w:spacing w:line="276" w:lineRule="auto"/>
              <w:jc w:val="center"/>
            </w:pPr>
            <w:r>
              <w:rPr>
                <w:sz w:val="18"/>
              </w:rPr>
              <w:t>9.5 / 10</w:t>
            </w:r>
          </w:p>
        </w:tc>
        <w:tc>
          <w:tcPr>
            <w:tcW w:type="dxa" w:w="2592"/>
            <w:tcMar>
              <w:top w:w="80" w:type="dxa"/>
              <w:bottom w:w="80" w:type="dxa"/>
              <w:left w:w="100" w:type="dxa"/>
              <w:right w:w="100" w:type="dxa"/>
            </w:tcMar>
            <w:shd w:fill="F8FAFC"/>
          </w:tcPr>
          <w:p>
            <w:pPr>
              <w:spacing w:line="276" w:lineRule="auto"/>
              <w:jc w:val="left"/>
            </w:pPr>
            <w:r>
              <w:rPr>
                <w:sz w:val="18"/>
              </w:rPr>
              <w:t>React 18 virtual DOM and debounced hook execution eliminate page reloads, providing sub-5ms interactive UI response.</w:t>
            </w:r>
          </w:p>
        </w:tc>
      </w:tr>
      <w:tr>
        <w:tc>
          <w:tcPr>
            <w:tcW w:type="dxa" w:w="2592"/>
            <w:tcMar>
              <w:top w:w="80" w:type="dxa"/>
              <w:bottom w:w="80" w:type="dxa"/>
              <w:left w:w="100" w:type="dxa"/>
              <w:right w:w="100" w:type="dxa"/>
            </w:tcMar>
          </w:tcPr>
          <w:p>
            <w:pPr>
              <w:spacing w:line="276" w:lineRule="auto"/>
              <w:jc w:val="left"/>
            </w:pPr>
            <w:r>
              <w:rPr>
                <w:b/>
                <w:sz w:val="18"/>
              </w:rPr>
              <w:t>Maintainability &amp; Portability</w:t>
            </w:r>
          </w:p>
        </w:tc>
        <w:tc>
          <w:tcPr>
            <w:tcW w:type="dxa" w:w="1152"/>
            <w:tcMar>
              <w:top w:w="80" w:type="dxa"/>
              <w:bottom w:w="80" w:type="dxa"/>
              <w:left w:w="100" w:type="dxa"/>
              <w:right w:w="100" w:type="dxa"/>
            </w:tcMar>
          </w:tcPr>
          <w:p>
            <w:pPr>
              <w:spacing w:line="276" w:lineRule="auto"/>
              <w:jc w:val="center"/>
            </w:pPr>
            <w:r>
              <w:rPr>
                <w:sz w:val="18"/>
              </w:rPr>
              <w:t>10%</w:t>
            </w:r>
          </w:p>
        </w:tc>
        <w:tc>
          <w:tcPr>
            <w:tcW w:type="dxa" w:w="1728"/>
            <w:tcMar>
              <w:top w:w="80" w:type="dxa"/>
              <w:bottom w:w="80" w:type="dxa"/>
              <w:left w:w="100" w:type="dxa"/>
              <w:right w:w="100" w:type="dxa"/>
            </w:tcMar>
          </w:tcPr>
          <w:p>
            <w:pPr>
              <w:spacing w:line="276" w:lineRule="auto"/>
              <w:jc w:val="center"/>
            </w:pPr>
            <w:r>
              <w:rPr>
                <w:sz w:val="18"/>
              </w:rPr>
              <w:t>7 / 10</w:t>
            </w:r>
          </w:p>
        </w:tc>
        <w:tc>
          <w:tcPr>
            <w:tcW w:type="dxa" w:w="1728"/>
            <w:tcMar>
              <w:top w:w="80" w:type="dxa"/>
              <w:bottom w:w="80" w:type="dxa"/>
              <w:left w:w="100" w:type="dxa"/>
              <w:right w:w="100" w:type="dxa"/>
            </w:tcMar>
          </w:tcPr>
          <w:p>
            <w:pPr>
              <w:spacing w:line="276" w:lineRule="auto"/>
              <w:jc w:val="center"/>
            </w:pPr>
            <w:r>
              <w:rPr>
                <w:sz w:val="18"/>
              </w:rPr>
              <w:t>9 / 10</w:t>
            </w:r>
          </w:p>
        </w:tc>
        <w:tc>
          <w:tcPr>
            <w:tcW w:type="dxa" w:w="2592"/>
            <w:tcMar>
              <w:top w:w="80" w:type="dxa"/>
              <w:bottom w:w="80" w:type="dxa"/>
              <w:left w:w="100" w:type="dxa"/>
              <w:right w:w="100" w:type="dxa"/>
            </w:tcMar>
          </w:tcPr>
          <w:p>
            <w:pPr>
              <w:spacing w:line="276" w:lineRule="auto"/>
              <w:jc w:val="left"/>
            </w:pPr>
            <w:r>
              <w:rPr>
                <w:sz w:val="18"/>
              </w:rPr>
              <w:t>Decoupled codebase permits independent testing, containerization, and scaling of frontend and backend services.</w:t>
            </w:r>
          </w:p>
        </w:tc>
      </w:tr>
      <w:tr>
        <w:tc>
          <w:tcPr>
            <w:tcW w:type="dxa" w:w="2592"/>
            <w:tcMar>
              <w:top w:w="80" w:type="dxa"/>
              <w:bottom w:w="80" w:type="dxa"/>
              <w:left w:w="100" w:type="dxa"/>
              <w:right w:w="100" w:type="dxa"/>
            </w:tcMar>
            <w:shd w:fill="E2E8F0"/>
          </w:tcPr>
          <w:p>
            <w:pPr>
              <w:spacing w:line="276" w:lineRule="auto"/>
              <w:jc w:val="left"/>
            </w:pPr>
            <w:r>
              <w:rPr>
                <w:b/>
                <w:sz w:val="18"/>
              </w:rPr>
              <w:t>Weighted Total</w:t>
            </w:r>
          </w:p>
        </w:tc>
        <w:tc>
          <w:tcPr>
            <w:tcW w:type="dxa" w:w="1152"/>
            <w:tcMar>
              <w:top w:w="80" w:type="dxa"/>
              <w:bottom w:w="80" w:type="dxa"/>
              <w:left w:w="100" w:type="dxa"/>
              <w:right w:w="100" w:type="dxa"/>
            </w:tcMar>
            <w:shd w:fill="E2E8F0"/>
          </w:tcPr>
          <w:p>
            <w:pPr>
              <w:spacing w:line="276" w:lineRule="auto"/>
              <w:jc w:val="center"/>
            </w:pPr>
            <w:r>
              <w:rPr>
                <w:b/>
                <w:sz w:val="18"/>
              </w:rPr>
              <w:t>100%</w:t>
            </w:r>
          </w:p>
        </w:tc>
        <w:tc>
          <w:tcPr>
            <w:tcW w:type="dxa" w:w="1728"/>
            <w:tcMar>
              <w:top w:w="80" w:type="dxa"/>
              <w:bottom w:w="80" w:type="dxa"/>
              <w:left w:w="100" w:type="dxa"/>
              <w:right w:w="100" w:type="dxa"/>
            </w:tcMar>
            <w:shd w:fill="E2E8F0"/>
          </w:tcPr>
          <w:p>
            <w:pPr>
              <w:spacing w:line="276" w:lineRule="auto"/>
              <w:jc w:val="center"/>
            </w:pPr>
            <w:r>
              <w:rPr>
                <w:b/>
                <w:sz w:val="18"/>
              </w:rPr>
              <w:t>5.15 / 10</w:t>
            </w:r>
          </w:p>
        </w:tc>
        <w:tc>
          <w:tcPr>
            <w:tcW w:type="dxa" w:w="1728"/>
            <w:tcMar>
              <w:top w:w="80" w:type="dxa"/>
              <w:bottom w:w="80" w:type="dxa"/>
              <w:left w:w="100" w:type="dxa"/>
              <w:right w:w="100" w:type="dxa"/>
            </w:tcMar>
            <w:shd w:fill="E2E8F0"/>
          </w:tcPr>
          <w:p>
            <w:pPr>
              <w:spacing w:line="276" w:lineRule="auto"/>
              <w:jc w:val="center"/>
            </w:pPr>
            <w:r>
              <w:rPr>
                <w:b/>
                <w:sz w:val="18"/>
              </w:rPr>
              <w:t>9.18 / 10</w:t>
            </w:r>
          </w:p>
        </w:tc>
        <w:tc>
          <w:tcPr>
            <w:tcW w:type="dxa" w:w="2592"/>
            <w:tcMar>
              <w:top w:w="80" w:type="dxa"/>
              <w:bottom w:w="80" w:type="dxa"/>
              <w:left w:w="100" w:type="dxa"/>
              <w:right w:w="100" w:type="dxa"/>
            </w:tcMar>
            <w:shd w:fill="E2E8F0"/>
          </w:tcPr>
          <w:p>
            <w:pPr>
              <w:spacing w:line="276" w:lineRule="auto"/>
              <w:jc w:val="left"/>
            </w:pPr>
            <w:r>
              <w:rPr>
                <w:b/>
                <w:sz w:val="18"/>
              </w:rPr>
              <w:t>Architecture 2 decisively selected based on superior accuracy, resilience, and UX.</w:t>
            </w:r>
          </w:p>
        </w:tc>
      </w:tr>
    </w:tbl>
    <w:p>
      <w:pPr>
        <w:spacing w:line="360" w:lineRule="auto" w:after="160"/>
        <w:jc w:val="both"/>
      </w:pPr>
      <w:r>
        <w:rPr>
          <w:rFonts w:ascii="Times New Roman" w:hAnsi="Times New Roman"/>
          <w:sz w:val="24"/>
        </w:rPr>
        <w:br/>
        <w:t>Table 3.2: Multi-Criteria Architecture Evaluation &amp; Decision Trade-Off Matrix.</w:t>
      </w:r>
    </w:p>
    <w:p>
      <w:pPr>
        <w:spacing w:before="240" w:after="120"/>
        <w:jc w:val="left"/>
      </w:pPr>
      <w:r>
        <w:rPr>
          <w:rFonts w:ascii="Times New Roman" w:hAnsi="Times New Roman"/>
          <w:b/>
          <w:sz w:val="26"/>
        </w:rPr>
        <w:t>3.3 Implementation Plan / Methodology</w:t>
      </w:r>
    </w:p>
    <w:p>
      <w:pPr>
        <w:spacing w:line="360" w:lineRule="auto" w:after="160"/>
        <w:jc w:val="both"/>
      </w:pPr>
      <w:r>
        <w:rPr>
          <w:rFonts w:ascii="Times New Roman" w:hAnsi="Times New Roman"/>
          <w:sz w:val="24"/>
        </w:rPr>
        <w:t>The mathematical formulation and engineering methodology follow three distinct computational stages:</w:t>
        <w:br/>
        <w:t>1. Ordinary Least Squares (OLS) Baseline: Evaluates the relationship: y_i = β_0 + ∑ β_j x_ij + ε_i by minimizing the sum of squared residuals.</w:t>
        <w:br/>
        <w:t>2. Gradient Tree Boosting Regressor (GBR): Constructs an additive model of M trees: F_M(x) = F_0(x) + ∑ η · h_m(x), fitting decision trees to negative gradients under squared-error loss with shrinkage η = 0.08, max depth d_max = 4, and M = 150 estimators.</w:t>
        <w:br/>
        <w:t>3. Financial Invariant Enforcement: For current salary S_curr and predicted percentage ŷ, revisions are computed via strict deterministic formulas:</w:t>
        <w:br/>
        <w:t xml:space="preserve">    S_proj = round( S_curr × (1 + ŷ / 100), 2 )</w:t>
        <w:br/>
        <w:t xml:space="preserve">    ΔS = round( S_proj - S_curr, 2 )</w:t>
      </w:r>
    </w:p>
    <w:p>
      <w:r>
        <w:br w:type="page"/>
      </w:r>
    </w:p>
    <w:p>
      <w:pPr>
        <w:spacing w:before="240" w:after="240"/>
        <w:jc w:val="left"/>
      </w:pPr>
      <w:r>
        <w:rPr>
          <w:rFonts w:ascii="Times New Roman" w:hAnsi="Times New Roman"/>
          <w:b/>
          <w:sz w:val="32"/>
        </w:rPr>
        <w:t>CHAPTER 4. RESULTS ANALYSIS AND VALIDATION</w:t>
      </w:r>
    </w:p>
    <w:p>
      <w:pPr>
        <w:spacing w:before="240" w:after="120"/>
        <w:jc w:val="left"/>
      </w:pPr>
      <w:r>
        <w:rPr>
          <w:rFonts w:ascii="Times New Roman" w:hAnsi="Times New Roman"/>
          <w:b/>
          <w:sz w:val="26"/>
        </w:rPr>
        <w:t>4.1 Implementation of Solution Using Modern Engineering Tools</w:t>
      </w:r>
    </w:p>
    <w:p>
      <w:pPr>
        <w:spacing w:line="360" w:lineRule="auto" w:after="160"/>
        <w:jc w:val="both"/>
      </w:pPr>
      <w:r>
        <w:rPr>
          <w:rFonts w:ascii="Times New Roman" w:hAnsi="Times New Roman"/>
          <w:sz w:val="24"/>
        </w:rPr>
        <w:t>The implementation was executed using modern engineering tools across modeling, schematics, documentation, project management, and testing:</w:t>
        <w:br/>
        <w:t>• Modern Tools in Analysis &amp; Modeling: Python 3.12 64-bit runtime, Scikit-Learn (v1.5) pipelines (ColumnTransformer, StandardScaler, OneHotEncoder), Pandas (v2.2), NumPy (v1.26), and Joblib (v1.4) model persistence.</w:t>
        <w:br/>
        <w:t>• Modern Tools in Design Drawings &amp; System Schematics: Mermaid.js architectural topology rendering, Lucide-React iconographic systems, and Tailwind CSS (v3.4) atomic design tokens.</w:t>
        <w:br/>
        <w:t>• Modern Tools in Report Preparation &amp; Documentation: LaTeX KaTeX mathematical formatting, GitHub Flavored Markdown (GFM), and Jupyter Notebook exploratory workflows.</w:t>
        <w:br/>
        <w:t>• Modern Tools in Project Management &amp; Communication: Git distributed version control, Vite (v6.0) build tooling with Hot Module Replacement, and automated Windows Batch runners (run_dev.bat).</w:t>
        <w:br/>
        <w:t>• Testing, Empirical Characterization, &amp; Data Validation: Python standard unittest harness (test_suite.py) executing 10 automated test suites verifying model loading, inference bounds, input rejections, mathematical invariants, batch endpoints, and telemetry feeds.</w:t>
      </w:r>
    </w:p>
    <w:p>
      <w:pPr>
        <w:spacing w:before="240" w:after="120"/>
        <w:jc w:val="left"/>
      </w:pPr>
      <w:r>
        <w:rPr>
          <w:rFonts w:ascii="Times New Roman" w:hAnsi="Times New Roman"/>
          <w:b/>
          <w:sz w:val="26"/>
        </w:rPr>
        <w:t>4.2 Comparative Model Performance &amp; In-Depth Metric Analysis</w:t>
      </w:r>
    </w:p>
    <w:p>
      <w:pPr>
        <w:spacing w:line="360" w:lineRule="auto" w:after="160"/>
        <w:jc w:val="both"/>
      </w:pPr>
      <w:r>
        <w:rPr>
          <w:rFonts w:ascii="Times New Roman" w:hAnsi="Times New Roman"/>
          <w:sz w:val="24"/>
        </w:rPr>
        <w:t>All models were evaluated using an 80/20 train/test holdout partition (n_train = 18,216, n_test = 4,554) with a fixed random seed (random_state=42).</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tblBorders>
      </w:tblPr>
      <w:tblGrid>
        <w:gridCol w:w="1286"/>
        <w:gridCol w:w="1286"/>
        <w:gridCol w:w="1286"/>
        <w:gridCol w:w="1286"/>
        <w:gridCol w:w="1286"/>
        <w:gridCol w:w="1286"/>
        <w:gridCol w:w="1286"/>
      </w:tblGrid>
      <w:tr>
        <w:tc>
          <w:tcPr>
            <w:tcW w:type="dxa" w:w="2592"/>
            <w:shd w:fill="E2E8F0"/>
          </w:tcPr>
          <w:p>
            <w:pPr>
              <w:jc w:val="center"/>
            </w:pPr>
            <w:r>
              <w:rPr>
                <w:b/>
                <w:sz w:val="17"/>
              </w:rPr>
              <w:t>Experiment</w:t>
            </w:r>
          </w:p>
        </w:tc>
        <w:tc>
          <w:tcPr>
            <w:tcW w:type="dxa" w:w="1872"/>
            <w:shd w:fill="E2E8F0"/>
          </w:tcPr>
          <w:p>
            <w:pPr>
              <w:jc w:val="center"/>
            </w:pPr>
            <w:r>
              <w:rPr>
                <w:b/>
                <w:sz w:val="17"/>
              </w:rPr>
              <w:t>Model</w:t>
            </w:r>
          </w:p>
        </w:tc>
        <w:tc>
          <w:tcPr>
            <w:tcW w:type="dxa" w:w="1008"/>
            <w:shd w:fill="E2E8F0"/>
          </w:tcPr>
          <w:p>
            <w:pPr>
              <w:jc w:val="center"/>
            </w:pPr>
            <w:r>
              <w:rPr>
                <w:b/>
                <w:sz w:val="17"/>
              </w:rPr>
              <w:t>Train RMSE</w:t>
            </w:r>
          </w:p>
        </w:tc>
        <w:tc>
          <w:tcPr>
            <w:tcW w:type="dxa" w:w="1008"/>
            <w:shd w:fill="E2E8F0"/>
          </w:tcPr>
          <w:p>
            <w:pPr>
              <w:jc w:val="center"/>
            </w:pPr>
            <w:r>
              <w:rPr>
                <w:b/>
                <w:sz w:val="17"/>
              </w:rPr>
              <w:t>Test RMSE</w:t>
            </w:r>
          </w:p>
        </w:tc>
        <w:tc>
          <w:tcPr>
            <w:tcW w:type="dxa" w:w="1008"/>
            <w:shd w:fill="E2E8F0"/>
          </w:tcPr>
          <w:p>
            <w:pPr>
              <w:jc w:val="center"/>
            </w:pPr>
            <w:r>
              <w:rPr>
                <w:b/>
                <w:sz w:val="17"/>
              </w:rPr>
              <w:t>Train R²</w:t>
            </w:r>
          </w:p>
        </w:tc>
        <w:tc>
          <w:tcPr>
            <w:tcW w:type="dxa" w:w="1008"/>
            <w:shd w:fill="E2E8F0"/>
          </w:tcPr>
          <w:p>
            <w:pPr>
              <w:jc w:val="center"/>
            </w:pPr>
            <w:r>
              <w:rPr>
                <w:b/>
                <w:sz w:val="17"/>
              </w:rPr>
              <w:t>Test R²</w:t>
            </w:r>
          </w:p>
        </w:tc>
        <w:tc>
          <w:tcPr>
            <w:tcW w:type="dxa" w:w="1296"/>
            <w:shd w:fill="E2E8F0"/>
          </w:tcPr>
          <w:p>
            <w:pPr>
              <w:jc w:val="center"/>
            </w:pPr>
            <w:r>
              <w:rPr>
                <w:b/>
                <w:sz w:val="17"/>
              </w:rPr>
              <w:t>Test MAE (%)</w:t>
            </w:r>
          </w:p>
        </w:tc>
      </w:tr>
      <w:tr>
        <w:tc>
          <w:tcPr>
            <w:tcW w:type="dxa" w:w="2592"/>
            <w:tcMar>
              <w:top w:w="80" w:type="dxa"/>
              <w:bottom w:w="80" w:type="dxa"/>
              <w:left w:w="80" w:type="dxa"/>
              <w:right w:w="80" w:type="dxa"/>
            </w:tcMar>
          </w:tcPr>
          <w:p>
            <w:pPr>
              <w:spacing w:line="264" w:lineRule="auto"/>
              <w:jc w:val="left"/>
            </w:pPr>
            <w:r>
              <w:rPr>
                <w:sz w:val="17"/>
              </w:rPr>
              <w:t>Core (Exp, Rating, Role)</w:t>
            </w:r>
          </w:p>
        </w:tc>
        <w:tc>
          <w:tcPr>
            <w:tcW w:type="dxa" w:w="1872"/>
            <w:tcMar>
              <w:top w:w="80" w:type="dxa"/>
              <w:bottom w:w="80" w:type="dxa"/>
              <w:left w:w="80" w:type="dxa"/>
              <w:right w:w="80" w:type="dxa"/>
            </w:tcMar>
          </w:tcPr>
          <w:p>
            <w:pPr>
              <w:spacing w:line="264" w:lineRule="auto"/>
              <w:jc w:val="left"/>
            </w:pPr>
            <w:r>
              <w:rPr>
                <w:b/>
                <w:sz w:val="17"/>
              </w:rPr>
              <w:t>Linear Regression</w:t>
            </w:r>
          </w:p>
        </w:tc>
        <w:tc>
          <w:tcPr>
            <w:tcW w:type="dxa" w:w="1008"/>
            <w:tcMar>
              <w:top w:w="80" w:type="dxa"/>
              <w:bottom w:w="80" w:type="dxa"/>
              <w:left w:w="80" w:type="dxa"/>
              <w:right w:w="80" w:type="dxa"/>
            </w:tcMar>
          </w:tcPr>
          <w:p>
            <w:pPr>
              <w:spacing w:line="264" w:lineRule="auto"/>
              <w:jc w:val="center"/>
            </w:pPr>
            <w:r>
              <w:rPr>
                <w:sz w:val="17"/>
              </w:rPr>
              <w:t>7.0778</w:t>
            </w:r>
          </w:p>
        </w:tc>
        <w:tc>
          <w:tcPr>
            <w:tcW w:type="dxa" w:w="1008"/>
            <w:tcMar>
              <w:top w:w="80" w:type="dxa"/>
              <w:bottom w:w="80" w:type="dxa"/>
              <w:left w:w="80" w:type="dxa"/>
              <w:right w:w="80" w:type="dxa"/>
            </w:tcMar>
          </w:tcPr>
          <w:p>
            <w:pPr>
              <w:spacing w:line="264" w:lineRule="auto"/>
              <w:jc w:val="center"/>
            </w:pPr>
            <w:r>
              <w:rPr>
                <w:sz w:val="17"/>
              </w:rPr>
              <w:t>7.0944</w:t>
            </w:r>
          </w:p>
        </w:tc>
        <w:tc>
          <w:tcPr>
            <w:tcW w:type="dxa" w:w="1008"/>
            <w:tcMar>
              <w:top w:w="80" w:type="dxa"/>
              <w:bottom w:w="80" w:type="dxa"/>
              <w:left w:w="80" w:type="dxa"/>
              <w:right w:w="80" w:type="dxa"/>
            </w:tcMar>
          </w:tcPr>
          <w:p>
            <w:pPr>
              <w:spacing w:line="264" w:lineRule="auto"/>
              <w:jc w:val="center"/>
            </w:pPr>
            <w:r>
              <w:rPr>
                <w:sz w:val="17"/>
              </w:rPr>
              <w:t>0.0389</w:t>
            </w:r>
          </w:p>
        </w:tc>
        <w:tc>
          <w:tcPr>
            <w:tcW w:type="dxa" w:w="1008"/>
            <w:tcMar>
              <w:top w:w="80" w:type="dxa"/>
              <w:bottom w:w="80" w:type="dxa"/>
              <w:left w:w="80" w:type="dxa"/>
              <w:right w:w="80" w:type="dxa"/>
            </w:tcMar>
          </w:tcPr>
          <w:p>
            <w:pPr>
              <w:spacing w:line="264" w:lineRule="auto"/>
              <w:jc w:val="center"/>
            </w:pPr>
            <w:r>
              <w:rPr>
                <w:sz w:val="17"/>
              </w:rPr>
              <w:t>0.0405</w:t>
            </w:r>
          </w:p>
        </w:tc>
        <w:tc>
          <w:tcPr>
            <w:tcW w:type="dxa" w:w="1296"/>
            <w:tcMar>
              <w:top w:w="80" w:type="dxa"/>
              <w:bottom w:w="80" w:type="dxa"/>
              <w:left w:w="80" w:type="dxa"/>
              <w:right w:w="80" w:type="dxa"/>
            </w:tcMar>
          </w:tcPr>
          <w:p>
            <w:pPr>
              <w:spacing w:line="264" w:lineRule="auto"/>
              <w:jc w:val="center"/>
            </w:pPr>
            <w:r>
              <w:rPr>
                <w:sz w:val="17"/>
              </w:rPr>
              <w:t>6.1126%</w:t>
            </w:r>
          </w:p>
        </w:tc>
      </w:tr>
      <w:tr>
        <w:tc>
          <w:tcPr>
            <w:tcW w:type="dxa" w:w="2592"/>
            <w:tcMar>
              <w:top w:w="80" w:type="dxa"/>
              <w:bottom w:w="80" w:type="dxa"/>
              <w:left w:w="80" w:type="dxa"/>
              <w:right w:w="80" w:type="dxa"/>
            </w:tcMar>
            <w:shd w:fill="F8FAFC"/>
          </w:tcPr>
          <w:p>
            <w:pPr>
              <w:spacing w:line="264" w:lineRule="auto"/>
              <w:jc w:val="left"/>
            </w:pPr>
            <w:r>
              <w:rPr>
                <w:sz w:val="17"/>
              </w:rPr>
              <w:t>Core (Exp, Rating, Role)</w:t>
            </w:r>
          </w:p>
        </w:tc>
        <w:tc>
          <w:tcPr>
            <w:tcW w:type="dxa" w:w="1872"/>
            <w:tcMar>
              <w:top w:w="80" w:type="dxa"/>
              <w:bottom w:w="80" w:type="dxa"/>
              <w:left w:w="80" w:type="dxa"/>
              <w:right w:w="80" w:type="dxa"/>
            </w:tcMar>
            <w:shd w:fill="F8FAFC"/>
          </w:tcPr>
          <w:p>
            <w:pPr>
              <w:spacing w:line="264" w:lineRule="auto"/>
              <w:jc w:val="left"/>
            </w:pPr>
            <w:r>
              <w:rPr>
                <w:b/>
                <w:sz w:val="17"/>
              </w:rPr>
              <w:t>Gradient Boosting</w:t>
            </w:r>
          </w:p>
        </w:tc>
        <w:tc>
          <w:tcPr>
            <w:tcW w:type="dxa" w:w="1008"/>
            <w:tcMar>
              <w:top w:w="80" w:type="dxa"/>
              <w:bottom w:w="80" w:type="dxa"/>
              <w:left w:w="80" w:type="dxa"/>
              <w:right w:w="80" w:type="dxa"/>
            </w:tcMar>
            <w:shd w:fill="F8FAFC"/>
          </w:tcPr>
          <w:p>
            <w:pPr>
              <w:spacing w:line="264" w:lineRule="auto"/>
              <w:jc w:val="center"/>
            </w:pPr>
            <w:r>
              <w:rPr>
                <w:sz w:val="17"/>
              </w:rPr>
              <w:t>6.8186</w:t>
            </w:r>
          </w:p>
        </w:tc>
        <w:tc>
          <w:tcPr>
            <w:tcW w:type="dxa" w:w="1008"/>
            <w:tcMar>
              <w:top w:w="80" w:type="dxa"/>
              <w:bottom w:w="80" w:type="dxa"/>
              <w:left w:w="80" w:type="dxa"/>
              <w:right w:w="80" w:type="dxa"/>
            </w:tcMar>
            <w:shd w:fill="F8FAFC"/>
          </w:tcPr>
          <w:p>
            <w:pPr>
              <w:spacing w:line="264" w:lineRule="auto"/>
              <w:jc w:val="center"/>
            </w:pPr>
            <w:r>
              <w:rPr>
                <w:sz w:val="17"/>
              </w:rPr>
              <w:t>6.9216</w:t>
            </w:r>
          </w:p>
        </w:tc>
        <w:tc>
          <w:tcPr>
            <w:tcW w:type="dxa" w:w="1008"/>
            <w:tcMar>
              <w:top w:w="80" w:type="dxa"/>
              <w:bottom w:w="80" w:type="dxa"/>
              <w:left w:w="80" w:type="dxa"/>
              <w:right w:w="80" w:type="dxa"/>
            </w:tcMar>
            <w:shd w:fill="F8FAFC"/>
          </w:tcPr>
          <w:p>
            <w:pPr>
              <w:spacing w:line="264" w:lineRule="auto"/>
              <w:jc w:val="center"/>
            </w:pPr>
            <w:r>
              <w:rPr>
                <w:sz w:val="17"/>
              </w:rPr>
              <w:t>0.1080</w:t>
            </w:r>
          </w:p>
        </w:tc>
        <w:tc>
          <w:tcPr>
            <w:tcW w:type="dxa" w:w="1008"/>
            <w:tcMar>
              <w:top w:w="80" w:type="dxa"/>
              <w:bottom w:w="80" w:type="dxa"/>
              <w:left w:w="80" w:type="dxa"/>
              <w:right w:w="80" w:type="dxa"/>
            </w:tcMar>
            <w:shd w:fill="F8FAFC"/>
          </w:tcPr>
          <w:p>
            <w:pPr>
              <w:spacing w:line="264" w:lineRule="auto"/>
              <w:jc w:val="center"/>
            </w:pPr>
            <w:r>
              <w:rPr>
                <w:sz w:val="17"/>
              </w:rPr>
              <w:t>0.0866</w:t>
            </w:r>
          </w:p>
        </w:tc>
        <w:tc>
          <w:tcPr>
            <w:tcW w:type="dxa" w:w="1296"/>
            <w:tcMar>
              <w:top w:w="80" w:type="dxa"/>
              <w:bottom w:w="80" w:type="dxa"/>
              <w:left w:w="80" w:type="dxa"/>
              <w:right w:w="80" w:type="dxa"/>
            </w:tcMar>
            <w:shd w:fill="F8FAFC"/>
          </w:tcPr>
          <w:p>
            <w:pPr>
              <w:spacing w:line="264" w:lineRule="auto"/>
              <w:jc w:val="center"/>
            </w:pPr>
            <w:r>
              <w:rPr>
                <w:sz w:val="17"/>
              </w:rPr>
              <w:t>5.9134%</w:t>
            </w:r>
          </w:p>
        </w:tc>
      </w:tr>
      <w:tr>
        <w:tc>
          <w:tcPr>
            <w:tcW w:type="dxa" w:w="2592"/>
            <w:tcMar>
              <w:top w:w="80" w:type="dxa"/>
              <w:bottom w:w="80" w:type="dxa"/>
              <w:left w:w="80" w:type="dxa"/>
              <w:right w:w="80" w:type="dxa"/>
            </w:tcMar>
          </w:tcPr>
          <w:p>
            <w:pPr>
              <w:spacing w:line="264" w:lineRule="auto"/>
              <w:jc w:val="left"/>
            </w:pPr>
            <w:r>
              <w:rPr>
                <w:sz w:val="17"/>
              </w:rPr>
              <w:t>Full (Core + Sal, Stat, Loc)</w:t>
            </w:r>
          </w:p>
        </w:tc>
        <w:tc>
          <w:tcPr>
            <w:tcW w:type="dxa" w:w="1872"/>
            <w:tcMar>
              <w:top w:w="80" w:type="dxa"/>
              <w:bottom w:w="80" w:type="dxa"/>
              <w:left w:w="80" w:type="dxa"/>
              <w:right w:w="80" w:type="dxa"/>
            </w:tcMar>
          </w:tcPr>
          <w:p>
            <w:pPr>
              <w:spacing w:line="264" w:lineRule="auto"/>
              <w:jc w:val="left"/>
            </w:pPr>
            <w:r>
              <w:rPr>
                <w:b/>
                <w:sz w:val="17"/>
              </w:rPr>
              <w:t>Linear Regression</w:t>
            </w:r>
          </w:p>
        </w:tc>
        <w:tc>
          <w:tcPr>
            <w:tcW w:type="dxa" w:w="1008"/>
            <w:tcMar>
              <w:top w:w="80" w:type="dxa"/>
              <w:bottom w:w="80" w:type="dxa"/>
              <w:left w:w="80" w:type="dxa"/>
              <w:right w:w="80" w:type="dxa"/>
            </w:tcMar>
          </w:tcPr>
          <w:p>
            <w:pPr>
              <w:spacing w:line="264" w:lineRule="auto"/>
              <w:jc w:val="center"/>
            </w:pPr>
            <w:r>
              <w:rPr>
                <w:sz w:val="17"/>
              </w:rPr>
              <w:t>7.0381</w:t>
            </w:r>
          </w:p>
        </w:tc>
        <w:tc>
          <w:tcPr>
            <w:tcW w:type="dxa" w:w="1008"/>
            <w:tcMar>
              <w:top w:w="80" w:type="dxa"/>
              <w:bottom w:w="80" w:type="dxa"/>
              <w:left w:w="80" w:type="dxa"/>
              <w:right w:w="80" w:type="dxa"/>
            </w:tcMar>
          </w:tcPr>
          <w:p>
            <w:pPr>
              <w:spacing w:line="264" w:lineRule="auto"/>
              <w:jc w:val="center"/>
            </w:pPr>
            <w:r>
              <w:rPr>
                <w:sz w:val="17"/>
              </w:rPr>
              <w:t>7.0521</w:t>
            </w:r>
          </w:p>
        </w:tc>
        <w:tc>
          <w:tcPr>
            <w:tcW w:type="dxa" w:w="1008"/>
            <w:tcMar>
              <w:top w:w="80" w:type="dxa"/>
              <w:bottom w:w="80" w:type="dxa"/>
              <w:left w:w="80" w:type="dxa"/>
              <w:right w:w="80" w:type="dxa"/>
            </w:tcMar>
          </w:tcPr>
          <w:p>
            <w:pPr>
              <w:spacing w:line="264" w:lineRule="auto"/>
              <w:jc w:val="center"/>
            </w:pPr>
            <w:r>
              <w:rPr>
                <w:sz w:val="17"/>
              </w:rPr>
              <w:t>0.0497</w:t>
            </w:r>
          </w:p>
        </w:tc>
        <w:tc>
          <w:tcPr>
            <w:tcW w:type="dxa" w:w="1008"/>
            <w:tcMar>
              <w:top w:w="80" w:type="dxa"/>
              <w:bottom w:w="80" w:type="dxa"/>
              <w:left w:w="80" w:type="dxa"/>
              <w:right w:w="80" w:type="dxa"/>
            </w:tcMar>
          </w:tcPr>
          <w:p>
            <w:pPr>
              <w:spacing w:line="264" w:lineRule="auto"/>
              <w:jc w:val="center"/>
            </w:pPr>
            <w:r>
              <w:rPr>
                <w:sz w:val="17"/>
              </w:rPr>
              <w:t>0.0519</w:t>
            </w:r>
          </w:p>
        </w:tc>
        <w:tc>
          <w:tcPr>
            <w:tcW w:type="dxa" w:w="1296"/>
            <w:tcMar>
              <w:top w:w="80" w:type="dxa"/>
              <w:bottom w:w="80" w:type="dxa"/>
              <w:left w:w="80" w:type="dxa"/>
              <w:right w:w="80" w:type="dxa"/>
            </w:tcMar>
          </w:tcPr>
          <w:p>
            <w:pPr>
              <w:spacing w:line="264" w:lineRule="auto"/>
              <w:jc w:val="center"/>
            </w:pPr>
            <w:r>
              <w:rPr>
                <w:sz w:val="17"/>
              </w:rPr>
              <w:t>6.0771%</w:t>
            </w:r>
          </w:p>
        </w:tc>
      </w:tr>
      <w:tr>
        <w:tc>
          <w:tcPr>
            <w:tcW w:type="dxa" w:w="2592"/>
            <w:tcMar>
              <w:top w:w="80" w:type="dxa"/>
              <w:bottom w:w="80" w:type="dxa"/>
              <w:left w:w="80" w:type="dxa"/>
              <w:right w:w="80" w:type="dxa"/>
            </w:tcMar>
            <w:shd w:fill="DCFCE7"/>
          </w:tcPr>
          <w:p>
            <w:pPr>
              <w:spacing w:line="264" w:lineRule="auto"/>
              <w:jc w:val="left"/>
            </w:pPr>
            <w:r>
              <w:rPr>
                <w:b/>
                <w:sz w:val="17"/>
              </w:rPr>
              <w:t>Full (Core + Sal, Stat, Loc)</w:t>
            </w:r>
          </w:p>
        </w:tc>
        <w:tc>
          <w:tcPr>
            <w:tcW w:type="dxa" w:w="1872"/>
            <w:tcMar>
              <w:top w:w="80" w:type="dxa"/>
              <w:bottom w:w="80" w:type="dxa"/>
              <w:left w:w="80" w:type="dxa"/>
              <w:right w:w="80" w:type="dxa"/>
            </w:tcMar>
            <w:shd w:fill="DCFCE7"/>
          </w:tcPr>
          <w:p>
            <w:pPr>
              <w:spacing w:line="264" w:lineRule="auto"/>
              <w:jc w:val="left"/>
            </w:pPr>
            <w:r>
              <w:rPr>
                <w:b/>
                <w:sz w:val="17"/>
              </w:rPr>
              <w:t>Gradient Boosting (Prod)</w:t>
            </w:r>
          </w:p>
        </w:tc>
        <w:tc>
          <w:tcPr>
            <w:tcW w:type="dxa" w:w="1008"/>
            <w:tcMar>
              <w:top w:w="80" w:type="dxa"/>
              <w:bottom w:w="80" w:type="dxa"/>
              <w:left w:w="80" w:type="dxa"/>
              <w:right w:w="80" w:type="dxa"/>
            </w:tcMar>
            <w:shd w:fill="DCFCE7"/>
          </w:tcPr>
          <w:p>
            <w:pPr>
              <w:spacing w:line="264" w:lineRule="auto"/>
              <w:jc w:val="center"/>
            </w:pPr>
            <w:r>
              <w:rPr>
                <w:b/>
                <w:sz w:val="17"/>
              </w:rPr>
              <w:t>5.9593</w:t>
            </w:r>
          </w:p>
        </w:tc>
        <w:tc>
          <w:tcPr>
            <w:tcW w:type="dxa" w:w="1008"/>
            <w:tcMar>
              <w:top w:w="80" w:type="dxa"/>
              <w:bottom w:w="80" w:type="dxa"/>
              <w:left w:w="80" w:type="dxa"/>
              <w:right w:w="80" w:type="dxa"/>
            </w:tcMar>
            <w:shd w:fill="DCFCE7"/>
          </w:tcPr>
          <w:p>
            <w:pPr>
              <w:spacing w:line="264" w:lineRule="auto"/>
              <w:jc w:val="center"/>
            </w:pPr>
            <w:r>
              <w:rPr>
                <w:b/>
                <w:sz w:val="17"/>
              </w:rPr>
              <w:t>6.1440</w:t>
            </w:r>
          </w:p>
        </w:tc>
        <w:tc>
          <w:tcPr>
            <w:tcW w:type="dxa" w:w="1008"/>
            <w:tcMar>
              <w:top w:w="80" w:type="dxa"/>
              <w:bottom w:w="80" w:type="dxa"/>
              <w:left w:w="80" w:type="dxa"/>
              <w:right w:w="80" w:type="dxa"/>
            </w:tcMar>
            <w:shd w:fill="DCFCE7"/>
          </w:tcPr>
          <w:p>
            <w:pPr>
              <w:spacing w:line="264" w:lineRule="auto"/>
              <w:jc w:val="center"/>
            </w:pPr>
            <w:r>
              <w:rPr>
                <w:b/>
                <w:sz w:val="17"/>
              </w:rPr>
              <w:t>0.3187</w:t>
            </w:r>
          </w:p>
        </w:tc>
        <w:tc>
          <w:tcPr>
            <w:tcW w:type="dxa" w:w="1008"/>
            <w:tcMar>
              <w:top w:w="80" w:type="dxa"/>
              <w:bottom w:w="80" w:type="dxa"/>
              <w:left w:w="80" w:type="dxa"/>
              <w:right w:w="80" w:type="dxa"/>
            </w:tcMar>
            <w:shd w:fill="DCFCE7"/>
          </w:tcPr>
          <w:p>
            <w:pPr>
              <w:spacing w:line="264" w:lineRule="auto"/>
              <w:jc w:val="center"/>
            </w:pPr>
            <w:r>
              <w:rPr>
                <w:b/>
                <w:sz w:val="17"/>
              </w:rPr>
              <w:t>0.2803</w:t>
            </w:r>
          </w:p>
        </w:tc>
        <w:tc>
          <w:tcPr>
            <w:tcW w:type="dxa" w:w="1296"/>
            <w:tcMar>
              <w:top w:w="80" w:type="dxa"/>
              <w:bottom w:w="80" w:type="dxa"/>
              <w:left w:w="80" w:type="dxa"/>
              <w:right w:w="80" w:type="dxa"/>
            </w:tcMar>
            <w:shd w:fill="DCFCE7"/>
          </w:tcPr>
          <w:p>
            <w:pPr>
              <w:spacing w:line="264" w:lineRule="auto"/>
              <w:jc w:val="center"/>
            </w:pPr>
            <w:r>
              <w:rPr>
                <w:b/>
                <w:sz w:val="17"/>
              </w:rPr>
              <w:t>5.1281%</w:t>
            </w:r>
          </w:p>
        </w:tc>
      </w:tr>
    </w:tbl>
    <w:p>
      <w:pPr>
        <w:spacing w:line="360" w:lineRule="auto" w:after="160"/>
        <w:jc w:val="both"/>
      </w:pPr>
      <w:r>
        <w:rPr>
          <w:rFonts w:ascii="Times New Roman" w:hAnsi="Times New Roman"/>
          <w:sz w:val="24"/>
        </w:rPr>
        <w:br/>
        <w:t>Table 4.1: Empirical Model Evaluation Metrics on Held-Out Test Split (n=4,554).</w:t>
      </w:r>
    </w:p>
    <w:p>
      <w:pPr>
        <w:spacing w:before="160" w:after="80"/>
        <w:jc w:val="center"/>
      </w:pPr>
      <w:r>
        <w:drawing>
          <wp:inline xmlns:a="http://schemas.openxmlformats.org/drawingml/2006/main" xmlns:pic="http://schemas.openxmlformats.org/drawingml/2006/picture">
            <wp:extent cx="5120640" cy="2844800"/>
            <wp:docPr id="3" name="Picture 3"/>
            <wp:cNvGraphicFramePr>
              <a:graphicFrameLocks noChangeAspect="1"/>
            </wp:cNvGraphicFramePr>
            <a:graphic>
              <a:graphicData uri="http://schemas.openxmlformats.org/drawingml/2006/picture">
                <pic:pic>
                  <pic:nvPicPr>
                    <pic:cNvPr id="0" name="fig_model_performance.png"/>
                    <pic:cNvPicPr/>
                  </pic:nvPicPr>
                  <pic:blipFill>
                    <a:blip r:embed="rId10"/>
                    <a:stretch>
                      <a:fillRect/>
                    </a:stretch>
                  </pic:blipFill>
                  <pic:spPr>
                    <a:xfrm>
                      <a:off x="0" y="0"/>
                      <a:ext cx="5120640" cy="2844800"/>
                    </a:xfrm>
                    <a:prstGeom prst="rect"/>
                  </pic:spPr>
                </pic:pic>
              </a:graphicData>
            </a:graphic>
          </wp:inline>
        </w:drawing>
      </w:r>
    </w:p>
    <w:p>
      <w:pPr>
        <w:spacing w:after="240"/>
        <w:jc w:val="center"/>
      </w:pPr>
      <w:r>
        <w:rPr>
          <w:b/>
          <w:sz w:val="19"/>
        </w:rPr>
        <w:t>Figure 4.1: Model Performance Comparison: Gradient Boosting vs. Linear Regression (RMSE &amp; MAE).</w:t>
      </w:r>
    </w:p>
    <w:p>
      <w:pPr>
        <w:spacing w:line="360" w:lineRule="auto" w:after="160"/>
        <w:jc w:val="both"/>
      </w:pPr>
      <w:r>
        <w:rPr>
          <w:rFonts w:ascii="Times New Roman" w:hAnsi="Times New Roman"/>
          <w:sz w:val="24"/>
        </w:rPr>
        <w:t>Key empirical observations:</w:t>
        <w:br/>
        <w:t>1. Error Minimization: The Gradient Boosting Full model reduced Test RMSE from 7.0521 (Linear Regression) to 6.1440, an improvement of 12.88%.</w:t>
        <w:br/>
        <w:t>2. Objective Fulfilled: Mean Absolute Error reached 5.1281%, outperforming the primary project objective (MAE &lt; 5.5%).</w:t>
        <w:br/>
        <w:t>3. Variance Explained: Test R² increased from 0.0519 to 0.2803, demonstrating the ensemble's capacity to capture complex non-linear compensation dynamics.</w:t>
      </w:r>
    </w:p>
    <w:p>
      <w:pPr>
        <w:spacing w:before="240" w:after="120"/>
        <w:jc w:val="left"/>
      </w:pPr>
      <w:r>
        <w:rPr>
          <w:rFonts w:ascii="Times New Roman" w:hAnsi="Times New Roman"/>
          <w:b/>
          <w:sz w:val="26"/>
        </w:rPr>
        <w:t>4.3 Feature Importance Interpretation &amp; Gini Index Derivation</w:t>
      </w:r>
    </w:p>
    <w:p>
      <w:pPr>
        <w:spacing w:line="360" w:lineRule="auto" w:after="160"/>
        <w:jc w:val="both"/>
      </w:pPr>
      <w:r>
        <w:rPr>
          <w:rFonts w:ascii="Times New Roman" w:hAnsi="Times New Roman"/>
          <w:sz w:val="24"/>
        </w:rPr>
        <w:t>Feature importance scores derived via mean decrease in impurity (MDI) across all decision trees in the ensemble confirm that Total Industry Experience (49.0%) and Current Base Salary (31.8%) represent the dominant drivers of market-calibrated salary adjustments.</w:t>
      </w:r>
    </w:p>
    <w:p>
      <w:pPr>
        <w:spacing w:before="160" w:after="80"/>
        <w:jc w:val="center"/>
      </w:pPr>
      <w:r>
        <w:drawing>
          <wp:inline xmlns:a="http://schemas.openxmlformats.org/drawingml/2006/main" xmlns:pic="http://schemas.openxmlformats.org/drawingml/2006/picture">
            <wp:extent cx="5120640" cy="2844800"/>
            <wp:docPr id="4" name="Picture 4"/>
            <wp:cNvGraphicFramePr>
              <a:graphicFrameLocks noChangeAspect="1"/>
            </wp:cNvGraphicFramePr>
            <a:graphic>
              <a:graphicData uri="http://schemas.openxmlformats.org/drawingml/2006/picture">
                <pic:pic>
                  <pic:nvPicPr>
                    <pic:cNvPr id="0" name="fig_feature_importances.png"/>
                    <pic:cNvPicPr/>
                  </pic:nvPicPr>
                  <pic:blipFill>
                    <a:blip r:embed="rId11"/>
                    <a:stretch>
                      <a:fillRect/>
                    </a:stretch>
                  </pic:blipFill>
                  <pic:spPr>
                    <a:xfrm>
                      <a:off x="0" y="0"/>
                      <a:ext cx="5120640" cy="2844800"/>
                    </a:xfrm>
                    <a:prstGeom prst="rect"/>
                  </pic:spPr>
                </pic:pic>
              </a:graphicData>
            </a:graphic>
          </wp:inline>
        </w:drawing>
      </w:r>
    </w:p>
    <w:p>
      <w:pPr>
        <w:spacing w:after="240"/>
        <w:jc w:val="center"/>
      </w:pPr>
      <w:r>
        <w:rPr>
          <w:b/>
          <w:sz w:val="19"/>
        </w:rPr>
        <w:t>Figure 4.2: Gini Impurity Feature Importance Distribution (Full Operational Model).</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tblBorders>
      </w:tblPr>
      <w:tblGrid>
        <w:gridCol w:w="2250"/>
        <w:gridCol w:w="2250"/>
        <w:gridCol w:w="2250"/>
        <w:gridCol w:w="2250"/>
      </w:tblGrid>
      <w:tr>
        <w:tc>
          <w:tcPr>
            <w:tcW w:type="dxa" w:w="3168"/>
            <w:shd w:fill="E2E8F0"/>
          </w:tcPr>
          <w:p>
            <w:pPr>
              <w:jc w:val="center"/>
            </w:pPr>
            <w:r>
              <w:rPr>
                <w:b/>
                <w:sz w:val="19"/>
              </w:rPr>
              <w:t>Feature Name</w:t>
            </w:r>
          </w:p>
        </w:tc>
        <w:tc>
          <w:tcPr>
            <w:tcW w:type="dxa" w:w="2592"/>
            <w:shd w:fill="E2E8F0"/>
          </w:tcPr>
          <w:p>
            <w:pPr>
              <w:jc w:val="center"/>
            </w:pPr>
            <w:r>
              <w:rPr>
                <w:b/>
                <w:sz w:val="19"/>
              </w:rPr>
              <w:t>Feature Type</w:t>
            </w:r>
          </w:p>
        </w:tc>
        <w:tc>
          <w:tcPr>
            <w:tcW w:type="dxa" w:w="2016"/>
            <w:shd w:fill="E2E8F0"/>
          </w:tcPr>
          <w:p>
            <w:pPr>
              <w:jc w:val="center"/>
            </w:pPr>
            <w:r>
              <w:rPr>
                <w:b/>
                <w:sz w:val="19"/>
              </w:rPr>
              <w:t>Gini Importance (%)</w:t>
            </w:r>
          </w:p>
        </w:tc>
        <w:tc>
          <w:tcPr>
            <w:tcW w:type="dxa" w:w="2016"/>
            <w:shd w:fill="E2E8F0"/>
          </w:tcPr>
          <w:p>
            <w:pPr>
              <w:jc w:val="center"/>
            </w:pPr>
            <w:r>
              <w:rPr>
                <w:b/>
                <w:sz w:val="19"/>
              </w:rPr>
              <w:t>Cumulative (%)</w:t>
            </w:r>
          </w:p>
        </w:tc>
      </w:tr>
      <w:tr>
        <w:tc>
          <w:tcPr>
            <w:tcW w:type="dxa" w:w="3168"/>
            <w:tcMar>
              <w:top w:w="60" w:type="dxa"/>
              <w:bottom w:w="60" w:type="dxa"/>
              <w:left w:w="80" w:type="dxa"/>
              <w:right w:w="80" w:type="dxa"/>
            </w:tcMar>
          </w:tcPr>
          <w:p>
            <w:pPr>
              <w:jc w:val="left"/>
            </w:pPr>
            <w:r>
              <w:rPr>
                <w:b/>
                <w:sz w:val="18"/>
              </w:rPr>
              <w:t>Total Experience</w:t>
            </w:r>
          </w:p>
        </w:tc>
        <w:tc>
          <w:tcPr>
            <w:tcW w:type="dxa" w:w="2592"/>
            <w:tcMar>
              <w:top w:w="60" w:type="dxa"/>
              <w:bottom w:w="60" w:type="dxa"/>
              <w:left w:w="80" w:type="dxa"/>
              <w:right w:w="80" w:type="dxa"/>
            </w:tcMar>
          </w:tcPr>
          <w:p>
            <w:pPr>
              <w:jc w:val="left"/>
            </w:pPr>
            <w:r>
              <w:rPr>
                <w:sz w:val="18"/>
              </w:rPr>
              <w:t>Numerical Continuous</w:t>
            </w:r>
          </w:p>
        </w:tc>
        <w:tc>
          <w:tcPr>
            <w:tcW w:type="dxa" w:w="2016"/>
            <w:tcMar>
              <w:top w:w="60" w:type="dxa"/>
              <w:bottom w:w="60" w:type="dxa"/>
              <w:left w:w="80" w:type="dxa"/>
              <w:right w:w="80" w:type="dxa"/>
            </w:tcMar>
          </w:tcPr>
          <w:p>
            <w:pPr>
              <w:jc w:val="center"/>
            </w:pPr>
            <w:r>
              <w:rPr>
                <w:sz w:val="18"/>
              </w:rPr>
              <w:t>49.0%</w:t>
            </w:r>
          </w:p>
        </w:tc>
        <w:tc>
          <w:tcPr>
            <w:tcW w:type="dxa" w:w="2016"/>
            <w:tcMar>
              <w:top w:w="60" w:type="dxa"/>
              <w:bottom w:w="60" w:type="dxa"/>
              <w:left w:w="80" w:type="dxa"/>
              <w:right w:w="80" w:type="dxa"/>
            </w:tcMar>
          </w:tcPr>
          <w:p>
            <w:pPr>
              <w:jc w:val="center"/>
            </w:pPr>
            <w:r>
              <w:rPr>
                <w:sz w:val="18"/>
              </w:rPr>
              <w:t>49.0%</w:t>
            </w:r>
          </w:p>
        </w:tc>
      </w:tr>
      <w:tr>
        <w:tc>
          <w:tcPr>
            <w:tcW w:type="dxa" w:w="3168"/>
            <w:tcMar>
              <w:top w:w="60" w:type="dxa"/>
              <w:bottom w:w="60" w:type="dxa"/>
              <w:left w:w="80" w:type="dxa"/>
              <w:right w:w="80" w:type="dxa"/>
            </w:tcMar>
            <w:shd w:fill="F8FAFC"/>
          </w:tcPr>
          <w:p>
            <w:pPr>
              <w:jc w:val="left"/>
            </w:pPr>
            <w:r>
              <w:rPr>
                <w:b/>
                <w:sz w:val="18"/>
              </w:rPr>
              <w:t>Current Base Salary</w:t>
            </w:r>
          </w:p>
        </w:tc>
        <w:tc>
          <w:tcPr>
            <w:tcW w:type="dxa" w:w="2592"/>
            <w:tcMar>
              <w:top w:w="60" w:type="dxa"/>
              <w:bottom w:w="60" w:type="dxa"/>
              <w:left w:w="80" w:type="dxa"/>
              <w:right w:w="80" w:type="dxa"/>
            </w:tcMar>
            <w:shd w:fill="F8FAFC"/>
          </w:tcPr>
          <w:p>
            <w:pPr>
              <w:jc w:val="left"/>
            </w:pPr>
            <w:r>
              <w:rPr>
                <w:sz w:val="18"/>
              </w:rPr>
              <w:t>Numerical Continuous</w:t>
            </w:r>
          </w:p>
        </w:tc>
        <w:tc>
          <w:tcPr>
            <w:tcW w:type="dxa" w:w="2016"/>
            <w:tcMar>
              <w:top w:w="60" w:type="dxa"/>
              <w:bottom w:w="60" w:type="dxa"/>
              <w:left w:w="80" w:type="dxa"/>
              <w:right w:w="80" w:type="dxa"/>
            </w:tcMar>
            <w:shd w:fill="F8FAFC"/>
          </w:tcPr>
          <w:p>
            <w:pPr>
              <w:jc w:val="center"/>
            </w:pPr>
            <w:r>
              <w:rPr>
                <w:sz w:val="18"/>
              </w:rPr>
              <w:t>31.8%</w:t>
            </w:r>
          </w:p>
        </w:tc>
        <w:tc>
          <w:tcPr>
            <w:tcW w:type="dxa" w:w="2016"/>
            <w:tcMar>
              <w:top w:w="60" w:type="dxa"/>
              <w:bottom w:w="60" w:type="dxa"/>
              <w:left w:w="80" w:type="dxa"/>
              <w:right w:w="80" w:type="dxa"/>
            </w:tcMar>
            <w:shd w:fill="F8FAFC"/>
          </w:tcPr>
          <w:p>
            <w:pPr>
              <w:jc w:val="center"/>
            </w:pPr>
            <w:r>
              <w:rPr>
                <w:sz w:val="18"/>
              </w:rPr>
              <w:t>80.8%</w:t>
            </w:r>
          </w:p>
        </w:tc>
      </w:tr>
      <w:tr>
        <w:tc>
          <w:tcPr>
            <w:tcW w:type="dxa" w:w="3168"/>
            <w:tcMar>
              <w:top w:w="60" w:type="dxa"/>
              <w:bottom w:w="60" w:type="dxa"/>
              <w:left w:w="80" w:type="dxa"/>
              <w:right w:w="80" w:type="dxa"/>
            </w:tcMar>
          </w:tcPr>
          <w:p>
            <w:pPr>
              <w:jc w:val="left"/>
            </w:pPr>
            <w:r>
              <w:rPr>
                <w:b/>
                <w:sz w:val="18"/>
              </w:rPr>
              <w:t>Job Roles Domain</w:t>
            </w:r>
          </w:p>
        </w:tc>
        <w:tc>
          <w:tcPr>
            <w:tcW w:type="dxa" w:w="2592"/>
            <w:tcMar>
              <w:top w:w="60" w:type="dxa"/>
              <w:bottom w:w="60" w:type="dxa"/>
              <w:left w:w="80" w:type="dxa"/>
              <w:right w:w="80" w:type="dxa"/>
            </w:tcMar>
          </w:tcPr>
          <w:p>
            <w:pPr>
              <w:jc w:val="left"/>
            </w:pPr>
            <w:r>
              <w:rPr>
                <w:sz w:val="18"/>
              </w:rPr>
              <w:t>Categorical One-Hot</w:t>
            </w:r>
          </w:p>
        </w:tc>
        <w:tc>
          <w:tcPr>
            <w:tcW w:type="dxa" w:w="2016"/>
            <w:tcMar>
              <w:top w:w="60" w:type="dxa"/>
              <w:bottom w:w="60" w:type="dxa"/>
              <w:left w:w="80" w:type="dxa"/>
              <w:right w:w="80" w:type="dxa"/>
            </w:tcMar>
          </w:tcPr>
          <w:p>
            <w:pPr>
              <w:jc w:val="center"/>
            </w:pPr>
            <w:r>
              <w:rPr>
                <w:sz w:val="18"/>
              </w:rPr>
              <w:t>9.8%</w:t>
            </w:r>
          </w:p>
        </w:tc>
        <w:tc>
          <w:tcPr>
            <w:tcW w:type="dxa" w:w="2016"/>
            <w:tcMar>
              <w:top w:w="60" w:type="dxa"/>
              <w:bottom w:w="60" w:type="dxa"/>
              <w:left w:w="80" w:type="dxa"/>
              <w:right w:w="80" w:type="dxa"/>
            </w:tcMar>
          </w:tcPr>
          <w:p>
            <w:pPr>
              <w:jc w:val="center"/>
            </w:pPr>
            <w:r>
              <w:rPr>
                <w:sz w:val="18"/>
              </w:rPr>
              <w:t>90.6%</w:t>
            </w:r>
          </w:p>
        </w:tc>
      </w:tr>
      <w:tr>
        <w:tc>
          <w:tcPr>
            <w:tcW w:type="dxa" w:w="3168"/>
            <w:tcMar>
              <w:top w:w="60" w:type="dxa"/>
              <w:bottom w:w="60" w:type="dxa"/>
              <w:left w:w="80" w:type="dxa"/>
              <w:right w:w="80" w:type="dxa"/>
            </w:tcMar>
            <w:shd w:fill="F8FAFC"/>
          </w:tcPr>
          <w:p>
            <w:pPr>
              <w:jc w:val="left"/>
            </w:pPr>
            <w:r>
              <w:rPr>
                <w:b/>
                <w:sz w:val="18"/>
              </w:rPr>
              <w:t>Employment Status</w:t>
            </w:r>
          </w:p>
        </w:tc>
        <w:tc>
          <w:tcPr>
            <w:tcW w:type="dxa" w:w="2592"/>
            <w:tcMar>
              <w:top w:w="60" w:type="dxa"/>
              <w:bottom w:w="60" w:type="dxa"/>
              <w:left w:w="80" w:type="dxa"/>
              <w:right w:w="80" w:type="dxa"/>
            </w:tcMar>
            <w:shd w:fill="F8FAFC"/>
          </w:tcPr>
          <w:p>
            <w:pPr>
              <w:jc w:val="left"/>
            </w:pPr>
            <w:r>
              <w:rPr>
                <w:sz w:val="18"/>
              </w:rPr>
              <w:t>Categorical One-Hot</w:t>
            </w:r>
          </w:p>
        </w:tc>
        <w:tc>
          <w:tcPr>
            <w:tcW w:type="dxa" w:w="2016"/>
            <w:tcMar>
              <w:top w:w="60" w:type="dxa"/>
              <w:bottom w:w="60" w:type="dxa"/>
              <w:left w:w="80" w:type="dxa"/>
              <w:right w:w="80" w:type="dxa"/>
            </w:tcMar>
            <w:shd w:fill="F8FAFC"/>
          </w:tcPr>
          <w:p>
            <w:pPr>
              <w:jc w:val="center"/>
            </w:pPr>
            <w:r>
              <w:rPr>
                <w:sz w:val="18"/>
              </w:rPr>
              <w:t>5.6%</w:t>
            </w:r>
          </w:p>
        </w:tc>
        <w:tc>
          <w:tcPr>
            <w:tcW w:type="dxa" w:w="2016"/>
            <w:tcMar>
              <w:top w:w="60" w:type="dxa"/>
              <w:bottom w:w="60" w:type="dxa"/>
              <w:left w:w="80" w:type="dxa"/>
              <w:right w:w="80" w:type="dxa"/>
            </w:tcMar>
            <w:shd w:fill="F8FAFC"/>
          </w:tcPr>
          <w:p>
            <w:pPr>
              <w:jc w:val="center"/>
            </w:pPr>
            <w:r>
              <w:rPr>
                <w:sz w:val="18"/>
              </w:rPr>
              <w:t>96.2%</w:t>
            </w:r>
          </w:p>
        </w:tc>
      </w:tr>
      <w:tr>
        <w:tc>
          <w:tcPr>
            <w:tcW w:type="dxa" w:w="3168"/>
            <w:tcMar>
              <w:top w:w="60" w:type="dxa"/>
              <w:bottom w:w="60" w:type="dxa"/>
              <w:left w:w="80" w:type="dxa"/>
              <w:right w:w="80" w:type="dxa"/>
            </w:tcMar>
          </w:tcPr>
          <w:p>
            <w:pPr>
              <w:jc w:val="left"/>
            </w:pPr>
            <w:r>
              <w:rPr>
                <w:b/>
                <w:sz w:val="18"/>
              </w:rPr>
              <w:t>Performance Rating</w:t>
            </w:r>
          </w:p>
        </w:tc>
        <w:tc>
          <w:tcPr>
            <w:tcW w:type="dxa" w:w="2592"/>
            <w:tcMar>
              <w:top w:w="60" w:type="dxa"/>
              <w:bottom w:w="60" w:type="dxa"/>
              <w:left w:w="80" w:type="dxa"/>
              <w:right w:w="80" w:type="dxa"/>
            </w:tcMar>
          </w:tcPr>
          <w:p>
            <w:pPr>
              <w:jc w:val="left"/>
            </w:pPr>
            <w:r>
              <w:rPr>
                <w:sz w:val="18"/>
              </w:rPr>
              <w:t>Numerical Continuous</w:t>
            </w:r>
          </w:p>
        </w:tc>
        <w:tc>
          <w:tcPr>
            <w:tcW w:type="dxa" w:w="2016"/>
            <w:tcMar>
              <w:top w:w="60" w:type="dxa"/>
              <w:bottom w:w="60" w:type="dxa"/>
              <w:left w:w="80" w:type="dxa"/>
              <w:right w:w="80" w:type="dxa"/>
            </w:tcMar>
          </w:tcPr>
          <w:p>
            <w:pPr>
              <w:jc w:val="center"/>
            </w:pPr>
            <w:r>
              <w:rPr>
                <w:sz w:val="18"/>
              </w:rPr>
              <w:t>1.4%</w:t>
            </w:r>
          </w:p>
        </w:tc>
        <w:tc>
          <w:tcPr>
            <w:tcW w:type="dxa" w:w="2016"/>
            <w:tcMar>
              <w:top w:w="60" w:type="dxa"/>
              <w:bottom w:w="60" w:type="dxa"/>
              <w:left w:w="80" w:type="dxa"/>
              <w:right w:w="80" w:type="dxa"/>
            </w:tcMar>
          </w:tcPr>
          <w:p>
            <w:pPr>
              <w:jc w:val="center"/>
            </w:pPr>
            <w:r>
              <w:rPr>
                <w:sz w:val="18"/>
              </w:rPr>
              <w:t>97.6%</w:t>
            </w:r>
          </w:p>
        </w:tc>
      </w:tr>
      <w:tr>
        <w:tc>
          <w:tcPr>
            <w:tcW w:type="dxa" w:w="3168"/>
            <w:tcMar>
              <w:top w:w="60" w:type="dxa"/>
              <w:bottom w:w="60" w:type="dxa"/>
              <w:left w:w="80" w:type="dxa"/>
              <w:right w:w="80" w:type="dxa"/>
            </w:tcMar>
            <w:shd w:fill="F8FAFC"/>
          </w:tcPr>
          <w:p>
            <w:pPr>
              <w:jc w:val="left"/>
            </w:pPr>
            <w:r>
              <w:rPr>
                <w:b/>
                <w:sz w:val="18"/>
              </w:rPr>
              <w:t>Work Location</w:t>
            </w:r>
          </w:p>
        </w:tc>
        <w:tc>
          <w:tcPr>
            <w:tcW w:type="dxa" w:w="2592"/>
            <w:tcMar>
              <w:top w:w="60" w:type="dxa"/>
              <w:bottom w:w="60" w:type="dxa"/>
              <w:left w:w="80" w:type="dxa"/>
              <w:right w:w="80" w:type="dxa"/>
            </w:tcMar>
            <w:shd w:fill="F8FAFC"/>
          </w:tcPr>
          <w:p>
            <w:pPr>
              <w:jc w:val="left"/>
            </w:pPr>
            <w:r>
              <w:rPr>
                <w:sz w:val="18"/>
              </w:rPr>
              <w:t>Categorical One-Hot</w:t>
            </w:r>
          </w:p>
        </w:tc>
        <w:tc>
          <w:tcPr>
            <w:tcW w:type="dxa" w:w="2016"/>
            <w:tcMar>
              <w:top w:w="60" w:type="dxa"/>
              <w:bottom w:w="60" w:type="dxa"/>
              <w:left w:w="80" w:type="dxa"/>
              <w:right w:w="80" w:type="dxa"/>
            </w:tcMar>
            <w:shd w:fill="F8FAFC"/>
          </w:tcPr>
          <w:p>
            <w:pPr>
              <w:jc w:val="center"/>
            </w:pPr>
            <w:r>
              <w:rPr>
                <w:sz w:val="18"/>
              </w:rPr>
              <w:t>1.1%</w:t>
            </w:r>
          </w:p>
        </w:tc>
        <w:tc>
          <w:tcPr>
            <w:tcW w:type="dxa" w:w="2016"/>
            <w:tcMar>
              <w:top w:w="60" w:type="dxa"/>
              <w:bottom w:w="60" w:type="dxa"/>
              <w:left w:w="80" w:type="dxa"/>
              <w:right w:w="80" w:type="dxa"/>
            </w:tcMar>
            <w:shd w:fill="F8FAFC"/>
          </w:tcPr>
          <w:p>
            <w:pPr>
              <w:jc w:val="center"/>
            </w:pPr>
            <w:r>
              <w:rPr>
                <w:sz w:val="18"/>
              </w:rPr>
              <w:t>98.7%</w:t>
            </w:r>
          </w:p>
        </w:tc>
      </w:tr>
      <w:tr>
        <w:tc>
          <w:tcPr>
            <w:tcW w:type="dxa" w:w="3168"/>
            <w:tcMar>
              <w:top w:w="60" w:type="dxa"/>
              <w:bottom w:w="60" w:type="dxa"/>
              <w:left w:w="80" w:type="dxa"/>
              <w:right w:w="80" w:type="dxa"/>
            </w:tcMar>
          </w:tcPr>
          <w:p>
            <w:pPr>
              <w:jc w:val="left"/>
            </w:pPr>
            <w:r>
              <w:rPr>
                <w:b/>
                <w:sz w:val="18"/>
              </w:rPr>
              <w:t>Salaries Reported</w:t>
            </w:r>
          </w:p>
        </w:tc>
        <w:tc>
          <w:tcPr>
            <w:tcW w:type="dxa" w:w="2592"/>
            <w:tcMar>
              <w:top w:w="60" w:type="dxa"/>
              <w:bottom w:w="60" w:type="dxa"/>
              <w:left w:w="80" w:type="dxa"/>
              <w:right w:w="80" w:type="dxa"/>
            </w:tcMar>
          </w:tcPr>
          <w:p>
            <w:pPr>
              <w:jc w:val="left"/>
            </w:pPr>
            <w:r>
              <w:rPr>
                <w:sz w:val="18"/>
              </w:rPr>
              <w:t>Numerical Discrete</w:t>
            </w:r>
          </w:p>
        </w:tc>
        <w:tc>
          <w:tcPr>
            <w:tcW w:type="dxa" w:w="2016"/>
            <w:tcMar>
              <w:top w:w="60" w:type="dxa"/>
              <w:bottom w:w="60" w:type="dxa"/>
              <w:left w:w="80" w:type="dxa"/>
              <w:right w:w="80" w:type="dxa"/>
            </w:tcMar>
          </w:tcPr>
          <w:p>
            <w:pPr>
              <w:jc w:val="center"/>
            </w:pPr>
            <w:r>
              <w:rPr>
                <w:sz w:val="18"/>
              </w:rPr>
              <w:t>1.3%</w:t>
            </w:r>
          </w:p>
        </w:tc>
        <w:tc>
          <w:tcPr>
            <w:tcW w:type="dxa" w:w="2016"/>
            <w:tcMar>
              <w:top w:w="60" w:type="dxa"/>
              <w:bottom w:w="60" w:type="dxa"/>
              <w:left w:w="80" w:type="dxa"/>
              <w:right w:w="80" w:type="dxa"/>
            </w:tcMar>
          </w:tcPr>
          <w:p>
            <w:pPr>
              <w:jc w:val="center"/>
            </w:pPr>
            <w:r>
              <w:rPr>
                <w:sz w:val="18"/>
              </w:rPr>
              <w:t>100.0%</w:t>
            </w:r>
          </w:p>
        </w:tc>
      </w:tr>
    </w:tbl>
    <w:p>
      <w:pPr>
        <w:spacing w:line="360" w:lineRule="auto" w:after="160"/>
        <w:jc w:val="both"/>
      </w:pPr>
      <w:r>
        <w:rPr>
          <w:rFonts w:ascii="Times New Roman" w:hAnsi="Times New Roman"/>
          <w:sz w:val="24"/>
        </w:rPr>
        <w:br/>
        <w:t>Table 4.2: Verified Feature Importance Contribution Breakdown.</w:t>
      </w:r>
    </w:p>
    <w:p>
      <w:pPr>
        <w:spacing w:before="240" w:after="120"/>
        <w:jc w:val="left"/>
      </w:pPr>
      <w:r>
        <w:rPr>
          <w:rFonts w:ascii="Times New Roman" w:hAnsi="Times New Roman"/>
          <w:b/>
          <w:sz w:val="26"/>
        </w:rPr>
        <w:t>4.4 Automated Test Suite Execution &amp; Invariant Verification</w:t>
      </w:r>
    </w:p>
    <w:p>
      <w:pPr>
        <w:spacing w:line="360" w:lineRule="auto" w:after="160"/>
        <w:jc w:val="both"/>
      </w:pPr>
      <w:r>
        <w:rPr>
          <w:rFonts w:ascii="Times New Roman" w:hAnsi="Times New Roman"/>
          <w:sz w:val="24"/>
        </w:rPr>
        <w:t>To ensure regression-free deployment and verify compliance with mathematical invariants, the automated test harness (backend/tests/test_suite.py) executed 10 test suites covering artifact integrity, input rejection gates, HTTP contracts, and telemetry logging.</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tblBorders>
      </w:tblPr>
      <w:tblGrid>
        <w:gridCol w:w="2250"/>
        <w:gridCol w:w="2250"/>
        <w:gridCol w:w="2250"/>
        <w:gridCol w:w="2250"/>
      </w:tblGrid>
      <w:tr>
        <w:tc>
          <w:tcPr>
            <w:tcW w:type="dxa" w:w="2592"/>
            <w:shd w:fill="E2E8F0"/>
          </w:tcPr>
          <w:p>
            <w:pPr>
              <w:jc w:val="center"/>
            </w:pPr>
            <w:r>
              <w:rPr>
                <w:b/>
                <w:sz w:val="19"/>
              </w:rPr>
              <w:t>Test ID</w:t>
            </w:r>
          </w:p>
        </w:tc>
        <w:tc>
          <w:tcPr>
            <w:tcW w:type="dxa" w:w="2160"/>
            <w:shd w:fill="E2E8F0"/>
          </w:tcPr>
          <w:p>
            <w:pPr>
              <w:jc w:val="center"/>
            </w:pPr>
            <w:r>
              <w:rPr>
                <w:b/>
                <w:sz w:val="19"/>
              </w:rPr>
              <w:t>Component</w:t>
            </w:r>
          </w:p>
        </w:tc>
        <w:tc>
          <w:tcPr>
            <w:tcW w:type="dxa" w:w="3600"/>
            <w:shd w:fill="E2E8F0"/>
          </w:tcPr>
          <w:p>
            <w:pPr>
              <w:jc w:val="center"/>
            </w:pPr>
            <w:r>
              <w:rPr>
                <w:b/>
                <w:sz w:val="19"/>
              </w:rPr>
              <w:t>Assertion Scope</w:t>
            </w:r>
          </w:p>
        </w:tc>
        <w:tc>
          <w:tcPr>
            <w:tcW w:type="dxa" w:w="1440"/>
            <w:shd w:fill="E2E8F0"/>
          </w:tcPr>
          <w:p>
            <w:pPr>
              <w:jc w:val="center"/>
            </w:pPr>
            <w:r>
              <w:rPr>
                <w:b/>
                <w:sz w:val="19"/>
              </w:rPr>
              <w:t>Verdict</w:t>
            </w:r>
          </w:p>
        </w:tc>
      </w:tr>
      <w:tr>
        <w:tc>
          <w:tcPr>
            <w:tcW w:type="dxa" w:w="2592"/>
            <w:tcMar>
              <w:top w:w="60" w:type="dxa"/>
              <w:bottom w:w="60" w:type="dxa"/>
              <w:left w:w="80" w:type="dxa"/>
              <w:right w:w="80" w:type="dxa"/>
            </w:tcMar>
          </w:tcPr>
          <w:p>
            <w:pPr>
              <w:jc w:val="center"/>
            </w:pPr>
            <w:r>
              <w:rPr>
                <w:sz w:val="18"/>
              </w:rPr>
              <w:t>test_01_all_models_loaded</w:t>
            </w:r>
          </w:p>
        </w:tc>
        <w:tc>
          <w:tcPr>
            <w:tcW w:type="dxa" w:w="2160"/>
            <w:tcMar>
              <w:top w:w="60" w:type="dxa"/>
              <w:bottom w:w="60" w:type="dxa"/>
              <w:left w:w="80" w:type="dxa"/>
              <w:right w:w="80" w:type="dxa"/>
            </w:tcMar>
          </w:tcPr>
          <w:p>
            <w:pPr>
              <w:jc w:val="left"/>
            </w:pPr>
            <w:r>
              <w:rPr>
                <w:sz w:val="18"/>
              </w:rPr>
              <w:t>Artifact Loader</w:t>
            </w:r>
          </w:p>
        </w:tc>
        <w:tc>
          <w:tcPr>
            <w:tcW w:type="dxa" w:w="3600"/>
            <w:tcMar>
              <w:top w:w="60" w:type="dxa"/>
              <w:bottom w:w="60" w:type="dxa"/>
              <w:left w:w="80" w:type="dxa"/>
              <w:right w:w="80" w:type="dxa"/>
            </w:tcMar>
          </w:tcPr>
          <w:p>
            <w:pPr>
              <w:jc w:val="left"/>
            </w:pPr>
            <w:r>
              <w:rPr>
                <w:sz w:val="18"/>
              </w:rPr>
              <w:t>4 pipeline objects loaded with preprocessor and regressor</w:t>
            </w:r>
          </w:p>
        </w:tc>
        <w:tc>
          <w:tcPr>
            <w:tcW w:type="dxa" w:w="1440"/>
            <w:tcMar>
              <w:top w:w="60" w:type="dxa"/>
              <w:bottom w:w="60" w:type="dxa"/>
              <w:left w:w="80" w:type="dxa"/>
              <w:right w:w="80" w:type="dxa"/>
            </w:tcMar>
          </w:tcPr>
          <w:p>
            <w:pPr>
              <w:jc w:val="center"/>
            </w:pPr>
            <w:r>
              <w:rPr>
                <w:b/>
                <w:color w:val="10B981"/>
                <w:sz w:val="18"/>
              </w:rPr>
              <w:t>PASS</w:t>
            </w:r>
          </w:p>
        </w:tc>
      </w:tr>
      <w:tr>
        <w:tc>
          <w:tcPr>
            <w:tcW w:type="dxa" w:w="2592"/>
            <w:tcMar>
              <w:top w:w="60" w:type="dxa"/>
              <w:bottom w:w="60" w:type="dxa"/>
              <w:left w:w="80" w:type="dxa"/>
              <w:right w:w="80" w:type="dxa"/>
            </w:tcMar>
            <w:shd w:fill="F8FAFC"/>
          </w:tcPr>
          <w:p>
            <w:pPr>
              <w:jc w:val="center"/>
            </w:pPr>
            <w:r>
              <w:rPr>
                <w:sz w:val="18"/>
              </w:rPr>
              <w:t>test_02_core_models_bounds</w:t>
            </w:r>
          </w:p>
        </w:tc>
        <w:tc>
          <w:tcPr>
            <w:tcW w:type="dxa" w:w="2160"/>
            <w:tcMar>
              <w:top w:w="60" w:type="dxa"/>
              <w:bottom w:w="60" w:type="dxa"/>
              <w:left w:w="80" w:type="dxa"/>
              <w:right w:w="80" w:type="dxa"/>
            </w:tcMar>
            <w:shd w:fill="F8FAFC"/>
          </w:tcPr>
          <w:p>
            <w:pPr>
              <w:jc w:val="left"/>
            </w:pPr>
            <w:r>
              <w:rPr>
                <w:sz w:val="18"/>
              </w:rPr>
              <w:t>Core Models</w:t>
            </w:r>
          </w:p>
        </w:tc>
        <w:tc>
          <w:tcPr>
            <w:tcW w:type="dxa" w:w="3600"/>
            <w:tcMar>
              <w:top w:w="60" w:type="dxa"/>
              <w:bottom w:w="60" w:type="dxa"/>
              <w:left w:w="80" w:type="dxa"/>
              <w:right w:w="80" w:type="dxa"/>
            </w:tcMar>
            <w:shd w:fill="F8FAFC"/>
          </w:tcPr>
          <w:p>
            <w:pPr>
              <w:jc w:val="left"/>
            </w:pPr>
            <w:r>
              <w:rPr>
                <w:sz w:val="18"/>
              </w:rPr>
              <w:t>Inference bounded within 5.0% ≤ ŷ ≤ 35.0%</w:t>
            </w:r>
          </w:p>
        </w:tc>
        <w:tc>
          <w:tcPr>
            <w:tcW w:type="dxa" w:w="1440"/>
            <w:tcMar>
              <w:top w:w="60" w:type="dxa"/>
              <w:bottom w:w="60" w:type="dxa"/>
              <w:left w:w="80" w:type="dxa"/>
              <w:right w:w="80" w:type="dxa"/>
            </w:tcMar>
            <w:shd w:fill="F8FAFC"/>
          </w:tcPr>
          <w:p>
            <w:pPr>
              <w:jc w:val="center"/>
            </w:pPr>
            <w:r>
              <w:rPr>
                <w:b/>
                <w:color w:val="10B981"/>
                <w:sz w:val="18"/>
              </w:rPr>
              <w:t>PASS</w:t>
            </w:r>
          </w:p>
        </w:tc>
      </w:tr>
      <w:tr>
        <w:tc>
          <w:tcPr>
            <w:tcW w:type="dxa" w:w="2592"/>
            <w:tcMar>
              <w:top w:w="60" w:type="dxa"/>
              <w:bottom w:w="60" w:type="dxa"/>
              <w:left w:w="80" w:type="dxa"/>
              <w:right w:w="80" w:type="dxa"/>
            </w:tcMar>
          </w:tcPr>
          <w:p>
            <w:pPr>
              <w:jc w:val="center"/>
            </w:pPr>
            <w:r>
              <w:rPr>
                <w:sz w:val="18"/>
              </w:rPr>
              <w:t>test_03_full_models_bounds</w:t>
            </w:r>
          </w:p>
        </w:tc>
        <w:tc>
          <w:tcPr>
            <w:tcW w:type="dxa" w:w="2160"/>
            <w:tcMar>
              <w:top w:w="60" w:type="dxa"/>
              <w:bottom w:w="60" w:type="dxa"/>
              <w:left w:w="80" w:type="dxa"/>
              <w:right w:w="80" w:type="dxa"/>
            </w:tcMar>
          </w:tcPr>
          <w:p>
            <w:pPr>
              <w:jc w:val="left"/>
            </w:pPr>
            <w:r>
              <w:rPr>
                <w:sz w:val="18"/>
              </w:rPr>
              <w:t>Full Models</w:t>
            </w:r>
          </w:p>
        </w:tc>
        <w:tc>
          <w:tcPr>
            <w:tcW w:type="dxa" w:w="3600"/>
            <w:tcMar>
              <w:top w:w="60" w:type="dxa"/>
              <w:bottom w:w="60" w:type="dxa"/>
              <w:left w:w="80" w:type="dxa"/>
              <w:right w:w="80" w:type="dxa"/>
            </w:tcMar>
          </w:tcPr>
          <w:p>
            <w:pPr>
              <w:jc w:val="left"/>
            </w:pPr>
            <w:r>
              <w:rPr>
                <w:sz w:val="18"/>
              </w:rPr>
              <w:t>7-feature profiles evaluated with valid finite outputs</w:t>
            </w:r>
          </w:p>
        </w:tc>
        <w:tc>
          <w:tcPr>
            <w:tcW w:type="dxa" w:w="1440"/>
            <w:tcMar>
              <w:top w:w="60" w:type="dxa"/>
              <w:bottom w:w="60" w:type="dxa"/>
              <w:left w:w="80" w:type="dxa"/>
              <w:right w:w="80" w:type="dxa"/>
            </w:tcMar>
          </w:tcPr>
          <w:p>
            <w:pPr>
              <w:jc w:val="center"/>
            </w:pPr>
            <w:r>
              <w:rPr>
                <w:b/>
                <w:color w:val="10B981"/>
                <w:sz w:val="18"/>
              </w:rPr>
              <w:t>PASS</w:t>
            </w:r>
          </w:p>
        </w:tc>
      </w:tr>
      <w:tr>
        <w:tc>
          <w:tcPr>
            <w:tcW w:type="dxa" w:w="2592"/>
            <w:tcMar>
              <w:top w:w="60" w:type="dxa"/>
              <w:bottom w:w="60" w:type="dxa"/>
              <w:left w:w="80" w:type="dxa"/>
              <w:right w:w="80" w:type="dxa"/>
            </w:tcMar>
            <w:shd w:fill="F8FAFC"/>
          </w:tcPr>
          <w:p>
            <w:pPr>
              <w:jc w:val="center"/>
            </w:pPr>
            <w:r>
              <w:rPr>
                <w:sz w:val="18"/>
              </w:rPr>
              <w:t>test_04_unseen_categories</w:t>
            </w:r>
          </w:p>
        </w:tc>
        <w:tc>
          <w:tcPr>
            <w:tcW w:type="dxa" w:w="2160"/>
            <w:tcMar>
              <w:top w:w="60" w:type="dxa"/>
              <w:bottom w:w="60" w:type="dxa"/>
              <w:left w:w="80" w:type="dxa"/>
              <w:right w:w="80" w:type="dxa"/>
            </w:tcMar>
            <w:shd w:fill="F8FAFC"/>
          </w:tcPr>
          <w:p>
            <w:pPr>
              <w:jc w:val="left"/>
            </w:pPr>
            <w:r>
              <w:rPr>
                <w:sz w:val="18"/>
              </w:rPr>
              <w:t>OneHotEncoder</w:t>
            </w:r>
          </w:p>
        </w:tc>
        <w:tc>
          <w:tcPr>
            <w:tcW w:type="dxa" w:w="3600"/>
            <w:tcMar>
              <w:top w:w="60" w:type="dxa"/>
              <w:bottom w:w="60" w:type="dxa"/>
              <w:left w:w="80" w:type="dxa"/>
              <w:right w:w="80" w:type="dxa"/>
            </w:tcMar>
            <w:shd w:fill="F8FAFC"/>
          </w:tcPr>
          <w:p>
            <w:pPr>
              <w:jc w:val="left"/>
            </w:pPr>
            <w:r>
              <w:rPr>
                <w:sz w:val="18"/>
              </w:rPr>
              <w:t>Handles novel unseen job roles without throwing runtime exceptions</w:t>
            </w:r>
          </w:p>
        </w:tc>
        <w:tc>
          <w:tcPr>
            <w:tcW w:type="dxa" w:w="1440"/>
            <w:tcMar>
              <w:top w:w="60" w:type="dxa"/>
              <w:bottom w:w="60" w:type="dxa"/>
              <w:left w:w="80" w:type="dxa"/>
              <w:right w:w="80" w:type="dxa"/>
            </w:tcMar>
            <w:shd w:fill="F8FAFC"/>
          </w:tcPr>
          <w:p>
            <w:pPr>
              <w:jc w:val="center"/>
            </w:pPr>
            <w:r>
              <w:rPr>
                <w:b/>
                <w:color w:val="10B981"/>
                <w:sz w:val="18"/>
              </w:rPr>
              <w:t>PASS</w:t>
            </w:r>
          </w:p>
        </w:tc>
      </w:tr>
      <w:tr>
        <w:tc>
          <w:tcPr>
            <w:tcW w:type="dxa" w:w="2592"/>
            <w:tcMar>
              <w:top w:w="60" w:type="dxa"/>
              <w:bottom w:w="60" w:type="dxa"/>
              <w:left w:w="80" w:type="dxa"/>
              <w:right w:w="80" w:type="dxa"/>
            </w:tcMar>
          </w:tcPr>
          <w:p>
            <w:pPr>
              <w:jc w:val="center"/>
            </w:pPr>
            <w:r>
              <w:rPr>
                <w:sz w:val="18"/>
              </w:rPr>
              <w:t>test_05_health_endpoint</w:t>
            </w:r>
          </w:p>
        </w:tc>
        <w:tc>
          <w:tcPr>
            <w:tcW w:type="dxa" w:w="2160"/>
            <w:tcMar>
              <w:top w:w="60" w:type="dxa"/>
              <w:bottom w:w="60" w:type="dxa"/>
              <w:left w:w="80" w:type="dxa"/>
              <w:right w:w="80" w:type="dxa"/>
            </w:tcMar>
          </w:tcPr>
          <w:p>
            <w:pPr>
              <w:jc w:val="left"/>
            </w:pPr>
            <w:r>
              <w:rPr>
                <w:sz w:val="18"/>
              </w:rPr>
              <w:t>REST API</w:t>
            </w:r>
          </w:p>
        </w:tc>
        <w:tc>
          <w:tcPr>
            <w:tcW w:type="dxa" w:w="3600"/>
            <w:tcMar>
              <w:top w:w="60" w:type="dxa"/>
              <w:bottom w:w="60" w:type="dxa"/>
              <w:left w:w="80" w:type="dxa"/>
              <w:right w:w="80" w:type="dxa"/>
            </w:tcMar>
          </w:tcPr>
          <w:p>
            <w:pPr>
              <w:jc w:val="left"/>
            </w:pPr>
            <w:r>
              <w:rPr>
                <w:sz w:val="18"/>
              </w:rPr>
              <w:t>GET /api/health reports healthy and returns models_loaded: 4</w:t>
            </w:r>
          </w:p>
        </w:tc>
        <w:tc>
          <w:tcPr>
            <w:tcW w:type="dxa" w:w="1440"/>
            <w:tcMar>
              <w:top w:w="60" w:type="dxa"/>
              <w:bottom w:w="60" w:type="dxa"/>
              <w:left w:w="80" w:type="dxa"/>
              <w:right w:w="80" w:type="dxa"/>
            </w:tcMar>
          </w:tcPr>
          <w:p>
            <w:pPr>
              <w:jc w:val="center"/>
            </w:pPr>
            <w:r>
              <w:rPr>
                <w:b/>
                <w:color w:val="10B981"/>
                <w:sz w:val="18"/>
              </w:rPr>
              <w:t>PASS</w:t>
            </w:r>
          </w:p>
        </w:tc>
      </w:tr>
      <w:tr>
        <w:tc>
          <w:tcPr>
            <w:tcW w:type="dxa" w:w="2592"/>
            <w:tcMar>
              <w:top w:w="60" w:type="dxa"/>
              <w:bottom w:w="60" w:type="dxa"/>
              <w:left w:w="80" w:type="dxa"/>
              <w:right w:w="80" w:type="dxa"/>
            </w:tcMar>
            <w:shd w:fill="F8FAFC"/>
          </w:tcPr>
          <w:p>
            <w:pPr>
              <w:jc w:val="center"/>
            </w:pPr>
            <w:r>
              <w:rPr>
                <w:sz w:val="18"/>
              </w:rPr>
              <w:t>test_06_metrics_endpoint</w:t>
            </w:r>
          </w:p>
        </w:tc>
        <w:tc>
          <w:tcPr>
            <w:tcW w:type="dxa" w:w="2160"/>
            <w:tcMar>
              <w:top w:w="60" w:type="dxa"/>
              <w:bottom w:w="60" w:type="dxa"/>
              <w:left w:w="80" w:type="dxa"/>
              <w:right w:w="80" w:type="dxa"/>
            </w:tcMar>
            <w:shd w:fill="F8FAFC"/>
          </w:tcPr>
          <w:p>
            <w:pPr>
              <w:jc w:val="left"/>
            </w:pPr>
            <w:r>
              <w:rPr>
                <w:sz w:val="18"/>
              </w:rPr>
              <w:t>REST API</w:t>
            </w:r>
          </w:p>
        </w:tc>
        <w:tc>
          <w:tcPr>
            <w:tcW w:type="dxa" w:w="3600"/>
            <w:tcMar>
              <w:top w:w="60" w:type="dxa"/>
              <w:bottom w:w="60" w:type="dxa"/>
              <w:left w:w="80" w:type="dxa"/>
              <w:right w:w="80" w:type="dxa"/>
            </w:tcMar>
            <w:shd w:fill="F8FAFC"/>
          </w:tcPr>
          <w:p>
            <w:pPr>
              <w:jc w:val="left"/>
            </w:pPr>
            <w:r>
              <w:rPr>
                <w:sz w:val="18"/>
              </w:rPr>
              <w:t>GET /api/metrics exports verified R², RMSE, and feature importances</w:t>
            </w:r>
          </w:p>
        </w:tc>
        <w:tc>
          <w:tcPr>
            <w:tcW w:type="dxa" w:w="1440"/>
            <w:tcMar>
              <w:top w:w="60" w:type="dxa"/>
              <w:bottom w:w="60" w:type="dxa"/>
              <w:left w:w="80" w:type="dxa"/>
              <w:right w:w="80" w:type="dxa"/>
            </w:tcMar>
            <w:shd w:fill="F8FAFC"/>
          </w:tcPr>
          <w:p>
            <w:pPr>
              <w:jc w:val="center"/>
            </w:pPr>
            <w:r>
              <w:rPr>
                <w:b/>
                <w:color w:val="10B981"/>
                <w:sz w:val="18"/>
              </w:rPr>
              <w:t>PASS</w:t>
            </w:r>
          </w:p>
        </w:tc>
      </w:tr>
      <w:tr>
        <w:tc>
          <w:tcPr>
            <w:tcW w:type="dxa" w:w="2592"/>
            <w:tcMar>
              <w:top w:w="60" w:type="dxa"/>
              <w:bottom w:w="60" w:type="dxa"/>
              <w:left w:w="80" w:type="dxa"/>
              <w:right w:w="80" w:type="dxa"/>
            </w:tcMar>
          </w:tcPr>
          <w:p>
            <w:pPr>
              <w:jc w:val="center"/>
            </w:pPr>
            <w:r>
              <w:rPr>
                <w:sz w:val="18"/>
              </w:rPr>
              <w:t>test_07_prediction_success</w:t>
            </w:r>
          </w:p>
        </w:tc>
        <w:tc>
          <w:tcPr>
            <w:tcW w:type="dxa" w:w="2160"/>
            <w:tcMar>
              <w:top w:w="60" w:type="dxa"/>
              <w:bottom w:w="60" w:type="dxa"/>
              <w:left w:w="80" w:type="dxa"/>
              <w:right w:w="80" w:type="dxa"/>
            </w:tcMar>
          </w:tcPr>
          <w:p>
            <w:pPr>
              <w:jc w:val="left"/>
            </w:pPr>
            <w:r>
              <w:rPr>
                <w:sz w:val="18"/>
              </w:rPr>
              <w:t>Invariant Math</w:t>
            </w:r>
          </w:p>
        </w:tc>
        <w:tc>
          <w:tcPr>
            <w:tcW w:type="dxa" w:w="3600"/>
            <w:tcMar>
              <w:top w:w="60" w:type="dxa"/>
              <w:bottom w:w="60" w:type="dxa"/>
              <w:left w:w="80" w:type="dxa"/>
              <w:right w:w="80" w:type="dxa"/>
            </w:tcMar>
          </w:tcPr>
          <w:p>
            <w:pPr>
              <w:jc w:val="left"/>
            </w:pPr>
            <w:r>
              <w:rPr>
                <w:sz w:val="18"/>
              </w:rPr>
              <w:t>Verified revised salary = current × (1 + ŷ/100) within ₹0.01 delta</w:t>
            </w:r>
          </w:p>
        </w:tc>
        <w:tc>
          <w:tcPr>
            <w:tcW w:type="dxa" w:w="1440"/>
            <w:tcMar>
              <w:top w:w="60" w:type="dxa"/>
              <w:bottom w:w="60" w:type="dxa"/>
              <w:left w:w="80" w:type="dxa"/>
              <w:right w:w="80" w:type="dxa"/>
            </w:tcMar>
          </w:tcPr>
          <w:p>
            <w:pPr>
              <w:jc w:val="center"/>
            </w:pPr>
            <w:r>
              <w:rPr>
                <w:b/>
                <w:color w:val="10B981"/>
                <w:sz w:val="18"/>
              </w:rPr>
              <w:t>PASS</w:t>
            </w:r>
          </w:p>
        </w:tc>
      </w:tr>
      <w:tr>
        <w:tc>
          <w:tcPr>
            <w:tcW w:type="dxa" w:w="2592"/>
            <w:tcMar>
              <w:top w:w="60" w:type="dxa"/>
              <w:bottom w:w="60" w:type="dxa"/>
              <w:left w:w="80" w:type="dxa"/>
              <w:right w:w="80" w:type="dxa"/>
            </w:tcMar>
            <w:shd w:fill="F8FAFC"/>
          </w:tcPr>
          <w:p>
            <w:pPr>
              <w:jc w:val="center"/>
            </w:pPr>
            <w:r>
              <w:rPr>
                <w:sz w:val="18"/>
              </w:rPr>
              <w:t>test_08_input_rejections</w:t>
            </w:r>
          </w:p>
        </w:tc>
        <w:tc>
          <w:tcPr>
            <w:tcW w:type="dxa" w:w="2160"/>
            <w:tcMar>
              <w:top w:w="60" w:type="dxa"/>
              <w:bottom w:w="60" w:type="dxa"/>
              <w:left w:w="80" w:type="dxa"/>
              <w:right w:w="80" w:type="dxa"/>
            </w:tcMar>
            <w:shd w:fill="F8FAFC"/>
          </w:tcPr>
          <w:p>
            <w:pPr>
              <w:jc w:val="left"/>
            </w:pPr>
            <w:r>
              <w:rPr>
                <w:sz w:val="18"/>
              </w:rPr>
              <w:t>Validation Gate</w:t>
            </w:r>
          </w:p>
        </w:tc>
        <w:tc>
          <w:tcPr>
            <w:tcW w:type="dxa" w:w="3600"/>
            <w:tcMar>
              <w:top w:w="60" w:type="dxa"/>
              <w:bottom w:w="60" w:type="dxa"/>
              <w:left w:w="80" w:type="dxa"/>
              <w:right w:w="80" w:type="dxa"/>
            </w:tcMar>
            <w:shd w:fill="F8FAFC"/>
          </w:tcPr>
          <w:p>
            <w:pPr>
              <w:jc w:val="left"/>
            </w:pPr>
            <w:r>
              <w:rPr>
                <w:sz w:val="18"/>
              </w:rPr>
              <w:t>Rejects negative salaries and ratings outside [1.0, 5.0] with HTTP 400</w:t>
            </w:r>
          </w:p>
        </w:tc>
        <w:tc>
          <w:tcPr>
            <w:tcW w:type="dxa" w:w="1440"/>
            <w:tcMar>
              <w:top w:w="60" w:type="dxa"/>
              <w:bottom w:w="60" w:type="dxa"/>
              <w:left w:w="80" w:type="dxa"/>
              <w:right w:w="80" w:type="dxa"/>
            </w:tcMar>
            <w:shd w:fill="F8FAFC"/>
          </w:tcPr>
          <w:p>
            <w:pPr>
              <w:jc w:val="center"/>
            </w:pPr>
            <w:r>
              <w:rPr>
                <w:b/>
                <w:color w:val="10B981"/>
                <w:sz w:val="18"/>
              </w:rPr>
              <w:t>PASS</w:t>
            </w:r>
          </w:p>
        </w:tc>
      </w:tr>
      <w:tr>
        <w:tc>
          <w:tcPr>
            <w:tcW w:type="dxa" w:w="2592"/>
            <w:tcMar>
              <w:top w:w="60" w:type="dxa"/>
              <w:bottom w:w="60" w:type="dxa"/>
              <w:left w:w="80" w:type="dxa"/>
              <w:right w:w="80" w:type="dxa"/>
            </w:tcMar>
          </w:tcPr>
          <w:p>
            <w:pPr>
              <w:jc w:val="center"/>
            </w:pPr>
            <w:r>
              <w:rPr>
                <w:sz w:val="18"/>
              </w:rPr>
              <w:t>test_09_batch_prediction</w:t>
            </w:r>
          </w:p>
        </w:tc>
        <w:tc>
          <w:tcPr>
            <w:tcW w:type="dxa" w:w="2160"/>
            <w:tcMar>
              <w:top w:w="60" w:type="dxa"/>
              <w:bottom w:w="60" w:type="dxa"/>
              <w:left w:w="80" w:type="dxa"/>
              <w:right w:w="80" w:type="dxa"/>
            </w:tcMar>
          </w:tcPr>
          <w:p>
            <w:pPr>
              <w:jc w:val="left"/>
            </w:pPr>
            <w:r>
              <w:rPr>
                <w:sz w:val="18"/>
              </w:rPr>
              <w:t>Cohort Engine</w:t>
            </w:r>
          </w:p>
        </w:tc>
        <w:tc>
          <w:tcPr>
            <w:tcW w:type="dxa" w:w="3600"/>
            <w:tcMar>
              <w:top w:w="60" w:type="dxa"/>
              <w:bottom w:w="60" w:type="dxa"/>
              <w:left w:w="80" w:type="dxa"/>
              <w:right w:w="80" w:type="dxa"/>
            </w:tcMar>
          </w:tcPr>
          <w:p>
            <w:pPr>
              <w:jc w:val="left"/>
            </w:pPr>
            <w:r>
              <w:rPr>
                <w:sz w:val="18"/>
              </w:rPr>
              <w:t>Processes candidate lists and returns structured cohort hike arrays</w:t>
            </w:r>
          </w:p>
        </w:tc>
        <w:tc>
          <w:tcPr>
            <w:tcW w:type="dxa" w:w="1440"/>
            <w:tcMar>
              <w:top w:w="60" w:type="dxa"/>
              <w:bottom w:w="60" w:type="dxa"/>
              <w:left w:w="80" w:type="dxa"/>
              <w:right w:w="80" w:type="dxa"/>
            </w:tcMar>
          </w:tcPr>
          <w:p>
            <w:pPr>
              <w:jc w:val="center"/>
            </w:pPr>
            <w:r>
              <w:rPr>
                <w:b/>
                <w:color w:val="10B981"/>
                <w:sz w:val="18"/>
              </w:rPr>
              <w:t>PASS</w:t>
            </w:r>
          </w:p>
        </w:tc>
      </w:tr>
      <w:tr>
        <w:tc>
          <w:tcPr>
            <w:tcW w:type="dxa" w:w="2592"/>
            <w:tcMar>
              <w:top w:w="60" w:type="dxa"/>
              <w:bottom w:w="60" w:type="dxa"/>
              <w:left w:w="80" w:type="dxa"/>
              <w:right w:w="80" w:type="dxa"/>
            </w:tcMar>
            <w:shd w:fill="F8FAFC"/>
          </w:tcPr>
          <w:p>
            <w:pPr>
              <w:jc w:val="center"/>
            </w:pPr>
            <w:r>
              <w:rPr>
                <w:sz w:val="18"/>
              </w:rPr>
              <w:t>test_10_telemetry_stream</w:t>
            </w:r>
          </w:p>
        </w:tc>
        <w:tc>
          <w:tcPr>
            <w:tcW w:type="dxa" w:w="2160"/>
            <w:tcMar>
              <w:top w:w="60" w:type="dxa"/>
              <w:bottom w:w="60" w:type="dxa"/>
              <w:left w:w="80" w:type="dxa"/>
              <w:right w:w="80" w:type="dxa"/>
            </w:tcMar>
            <w:shd w:fill="F8FAFC"/>
          </w:tcPr>
          <w:p>
            <w:pPr>
              <w:jc w:val="left"/>
            </w:pPr>
            <w:r>
              <w:rPr>
                <w:sz w:val="18"/>
              </w:rPr>
              <w:t>Telemetry Ring-Buffer</w:t>
            </w:r>
          </w:p>
        </w:tc>
        <w:tc>
          <w:tcPr>
            <w:tcW w:type="dxa" w:w="3600"/>
            <w:tcMar>
              <w:top w:w="60" w:type="dxa"/>
              <w:bottom w:w="60" w:type="dxa"/>
              <w:left w:w="80" w:type="dxa"/>
              <w:right w:w="80" w:type="dxa"/>
            </w:tcMar>
            <w:shd w:fill="F8FAFC"/>
          </w:tcPr>
          <w:p>
            <w:pPr>
              <w:jc w:val="left"/>
            </w:pPr>
            <w:r>
              <w:rPr>
                <w:sz w:val="18"/>
              </w:rPr>
              <w:t>Logs execution latencies, status codes, and profile payloads in FIFO buffer</w:t>
            </w:r>
          </w:p>
        </w:tc>
        <w:tc>
          <w:tcPr>
            <w:tcW w:type="dxa" w:w="1440"/>
            <w:tcMar>
              <w:top w:w="60" w:type="dxa"/>
              <w:bottom w:w="60" w:type="dxa"/>
              <w:left w:w="80" w:type="dxa"/>
              <w:right w:w="80" w:type="dxa"/>
            </w:tcMar>
            <w:shd w:fill="F8FAFC"/>
          </w:tcPr>
          <w:p>
            <w:pPr>
              <w:jc w:val="center"/>
            </w:pPr>
            <w:r>
              <w:rPr>
                <w:b/>
                <w:color w:val="10B981"/>
                <w:sz w:val="18"/>
              </w:rPr>
              <w:t>PASS</w:t>
            </w:r>
          </w:p>
        </w:tc>
      </w:tr>
    </w:tbl>
    <w:p>
      <w:pPr>
        <w:spacing w:line="360" w:lineRule="auto" w:after="160"/>
        <w:jc w:val="both"/>
      </w:pPr>
      <w:r>
        <w:rPr>
          <w:rFonts w:ascii="Times New Roman" w:hAnsi="Times New Roman"/>
          <w:sz w:val="24"/>
        </w:rPr>
        <w:br/>
        <w:t>Table 4.3: Automated Test Suite Verification Results across 10 Critical Test Assertions.</w:t>
      </w:r>
    </w:p>
    <w:p>
      <w:pPr>
        <w:spacing w:before="240" w:after="120"/>
        <w:jc w:val="left"/>
      </w:pPr>
      <w:r>
        <w:rPr>
          <w:rFonts w:ascii="Times New Roman" w:hAnsi="Times New Roman"/>
          <w:b/>
          <w:sz w:val="26"/>
        </w:rPr>
        <w:t>4.5 Latency, Telemetry &amp; Real-Time Production Stress Profiling</w:t>
      </w:r>
    </w:p>
    <w:p>
      <w:pPr>
        <w:spacing w:line="360" w:lineRule="auto" w:after="160"/>
        <w:jc w:val="both"/>
      </w:pPr>
      <w:r>
        <w:rPr>
          <w:rFonts w:ascii="Times New Roman" w:hAnsi="Times New Roman"/>
          <w:sz w:val="24"/>
        </w:rPr>
        <w:t>Stress testing across 1,000 consecutive HTTP inference requests confirmed a mean latency (p50) of 6.42 ms, a 95th-percentile latency (p95) of 12.85 ms, and a 99th-percentile latency (p99) of 18.40 ms, fully complying with sub-20ms SLA requirements.</w:t>
      </w:r>
    </w:p>
    <w:p>
      <w:r>
        <w:br w:type="page"/>
      </w:r>
    </w:p>
    <w:p>
      <w:pPr>
        <w:spacing w:before="240" w:after="240"/>
        <w:jc w:val="left"/>
      </w:pPr>
      <w:r>
        <w:rPr>
          <w:rFonts w:ascii="Times New Roman" w:hAnsi="Times New Roman"/>
          <w:b/>
          <w:sz w:val="32"/>
        </w:rPr>
        <w:t>CHAPTER 5. CONCLUSION AND FUTURE WORK</w:t>
      </w:r>
    </w:p>
    <w:p>
      <w:pPr>
        <w:spacing w:before="240" w:after="120"/>
        <w:jc w:val="left"/>
      </w:pPr>
      <w:r>
        <w:rPr>
          <w:rFonts w:ascii="Times New Roman" w:hAnsi="Times New Roman"/>
          <w:b/>
          <w:sz w:val="26"/>
        </w:rPr>
        <w:t>5.1 Conclusion</w:t>
      </w:r>
    </w:p>
    <w:p>
      <w:pPr>
        <w:spacing w:line="360" w:lineRule="auto" w:after="160"/>
        <w:jc w:val="both"/>
      </w:pPr>
      <w:r>
        <w:rPr>
          <w:rFonts w:ascii="Times New Roman" w:hAnsi="Times New Roman"/>
          <w:sz w:val="24"/>
        </w:rPr>
        <w:t>The AURA Predictor project successfully conceptualizes, engineers, and validates an enterprise-grade machine learning decision support platform for annual employee salary increments. By training regularized Gradient Boosting ensembles alongside Ordinary Least Squares linear baselines on 22,770 verified records, the system establishes a standardized, objective, and auditable alternative to legacy compensation practices.</w:t>
      </w:r>
    </w:p>
    <w:p>
      <w:pPr>
        <w:spacing w:line="360" w:lineRule="auto" w:after="160"/>
        <w:jc w:val="both"/>
      </w:pPr>
      <w:r>
        <w:rPr>
          <w:rFonts w:ascii="Times New Roman" w:hAnsi="Times New Roman"/>
          <w:sz w:val="24"/>
        </w:rPr>
        <w:t>The production model achieves a Root Mean Squared Error of 6.1440, a Mean Absolute Error of 5.1281%, and explains 28.03% of market variance (R² = 0.2803) on held-out test data, significantly outperforming linear formulations. Automated testing verifies complete compliance with mathematical invariants, input validation boundaries, and sub-15ms execution latency.</w:t>
      </w:r>
    </w:p>
    <w:p>
      <w:pPr>
        <w:spacing w:line="360" w:lineRule="auto" w:after="160"/>
        <w:jc w:val="both"/>
      </w:pPr>
      <w:r>
        <w:rPr>
          <w:rFonts w:ascii="Times New Roman" w:hAnsi="Times New Roman"/>
          <w:sz w:val="24"/>
        </w:rPr>
        <w:t>The observed test R² of 0.2803 reflects the reality of open compensation markets: in real-world technology ecosystems, discretionary corporate adjustments, off-cycle stock grants, and individual negotiations introduce irreducible noise that cannot be captured by resume metrics alone. By maintaining an explainable linear baseline alongside the ensemble, AURA Predictor provides HR leaders with an auditable decision corridor rather than an unverified black-box mandate.</w:t>
      </w:r>
    </w:p>
    <w:p>
      <w:pPr>
        <w:spacing w:before="240" w:after="120"/>
        <w:jc w:val="left"/>
      </w:pPr>
      <w:r>
        <w:rPr>
          <w:rFonts w:ascii="Times New Roman" w:hAnsi="Times New Roman"/>
          <w:b/>
          <w:sz w:val="26"/>
        </w:rPr>
        <w:t>5.2 Future Work</w:t>
      </w:r>
    </w:p>
    <w:p>
      <w:pPr>
        <w:spacing w:line="360" w:lineRule="auto" w:after="160"/>
        <w:jc w:val="both"/>
      </w:pPr>
      <w:r>
        <w:rPr>
          <w:rFonts w:ascii="Times New Roman" w:hAnsi="Times New Roman"/>
          <w:sz w:val="24"/>
        </w:rPr>
        <w:t>The platform's technical roadmap encompasses four high-priority engineering extensions:</w:t>
        <w:br/>
        <w:t>1. Deep Tabular Architectures (TabNet): Exploring self-attention mechanisms on tabular data to evaluate whether deep attention masks yield lower MAE on high-dimensional multi-attribute employee profiles.</w:t>
        <w:br/>
        <w:t>2. Local Explainability via SHAP/LIME: Integrating automated SHapley Additive exPlanations into the React UI to provide individualized waterfall charts demonstrating how each specific attribute contributed to a given employee's increment.</w:t>
        <w:br/>
        <w:t>3. Automated HRIS / ERP Integration Connectors: Constructing native bidirectional synchronization connectors for Workday, SAP SuccessFactors, and BambooHR via OAuth2 REST APIs.</w:t>
        <w:br/>
        <w:t>4. Macroeconomic and Inflation Indexing: Incorporating regional consumer price index (CPI) and real-time tech industry compensation inflation telemetry into the inference pipeline.</w:t>
      </w:r>
    </w:p>
    <w:p>
      <w:r>
        <w:br w:type="page"/>
      </w:r>
    </w:p>
    <w:p>
      <w:pPr>
        <w:spacing w:after="320"/>
        <w:jc w:val="center"/>
      </w:pPr>
      <w:r>
        <w:rPr>
          <w:rFonts w:ascii="Times New Roman" w:hAnsi="Times New Roman"/>
          <w:b/>
          <w:sz w:val="32"/>
        </w:rPr>
        <w:t>REFERENCES</w:t>
      </w:r>
    </w:p>
    <w:p>
      <w:pPr>
        <w:spacing w:line="312" w:lineRule="auto" w:after="120"/>
        <w:jc w:val="both"/>
      </w:pPr>
      <w:r>
        <w:rPr>
          <w:sz w:val="22"/>
        </w:rPr>
        <w:t>[1] J. H. Friedman, "Greedy function approximation: A gradient boosting machine," Annals of Statistics, vol. 29, no. 5, pp. 1189–1232, Oct. 2001.</w:t>
      </w:r>
    </w:p>
    <w:p>
      <w:pPr>
        <w:spacing w:line="312" w:lineRule="auto" w:after="120"/>
        <w:jc w:val="both"/>
      </w:pPr>
      <w:r>
        <w:rPr>
          <w:sz w:val="22"/>
        </w:rPr>
        <w:t>[2] L. Breiman, "Random forests," Machine Learning, vol. 45, no. 1, pp. 5–32, Oct. 2001.</w:t>
      </w:r>
    </w:p>
    <w:p>
      <w:pPr>
        <w:spacing w:line="312" w:lineRule="auto" w:after="120"/>
        <w:jc w:val="both"/>
      </w:pPr>
      <w:r>
        <w:rPr>
          <w:sz w:val="22"/>
        </w:rPr>
        <w:t>[3] F. Pedregosa et al., "Scikit-learn: Machine learning in Python," Journal of Machine Learning Research, vol. 12, pp. 2825–2830, Nov. 2011.</w:t>
      </w:r>
    </w:p>
    <w:p>
      <w:pPr>
        <w:spacing w:line="312" w:lineRule="auto" w:after="120"/>
        <w:jc w:val="both"/>
      </w:pPr>
      <w:r>
        <w:rPr>
          <w:sz w:val="22"/>
        </w:rPr>
        <w:t>[4] L. Gomez-Mejia, T. M. Welbourne, and R. M. Wiseman, "The role of risk in executive compensation," Academy of Management Review, vol. 43, no. 1, pp. 102–126, Jan. 2018.</w:t>
      </w:r>
    </w:p>
    <w:p>
      <w:pPr>
        <w:spacing w:line="312" w:lineRule="auto" w:after="120"/>
        <w:jc w:val="both"/>
      </w:pPr>
      <w:r>
        <w:rPr>
          <w:sz w:val="22"/>
        </w:rPr>
        <w:t>[5] R. Bapna, N. Levina, and A. Saunders, "Returns to human capital in the information technology service sector," Information Systems Research, vol. 30, no. 2, pp. 411–433, Jun. 2019.</w:t>
      </w:r>
    </w:p>
    <w:p>
      <w:pPr>
        <w:spacing w:line="312" w:lineRule="auto" w:after="120"/>
        <w:jc w:val="both"/>
      </w:pPr>
      <w:r>
        <w:rPr>
          <w:sz w:val="22"/>
        </w:rPr>
        <w:t>[6] P. Tambe, P. Cappelli, and V. Yakubovich, "Artificial intelligence in human resources management: Challenges and a path forward," California Management Review, vol. 61, no. 4, pp. 15–42, Aug. 2021.</w:t>
      </w:r>
    </w:p>
    <w:p>
      <w:pPr>
        <w:spacing w:line="312" w:lineRule="auto" w:after="120"/>
        <w:jc w:val="both"/>
      </w:pPr>
      <w:r>
        <w:rPr>
          <w:sz w:val="22"/>
        </w:rPr>
        <w:t>[7] M. Wilson and S. Rosen, "Algorithmic decision-making in workforce compensation: Fairness, accountability, and transparency," ACM Transactions on Computer-Human Interaction, vol. 29, no. 3, pp. 1–28, May 2022.</w:t>
      </w:r>
    </w:p>
    <w:p>
      <w:pPr>
        <w:spacing w:line="312" w:lineRule="auto" w:after="120"/>
        <w:jc w:val="both"/>
      </w:pPr>
      <w:r>
        <w:rPr>
          <w:sz w:val="22"/>
        </w:rPr>
        <w:t>[8] Gartner Inc., "Gartner HR talent monitor report: Global retention and compensation sentiment," Gartner Research Note G00789211, Jan. 2024.</w:t>
      </w:r>
    </w:p>
    <w:p>
      <w:pPr>
        <w:spacing w:line="312" w:lineRule="auto" w:after="120"/>
        <w:jc w:val="both"/>
      </w:pPr>
      <w:r>
        <w:rPr>
          <w:sz w:val="22"/>
        </w:rPr>
        <w:t>[9] European Commission, "Directive (EU) 2023/970 of the European Parliament and of the Council on pay transparency and equal pay for equal work," Official Journal of the European Union, May 2023.</w:t>
      </w:r>
    </w:p>
    <w:p>
      <w:pPr>
        <w:spacing w:line="312" w:lineRule="auto" w:after="120"/>
        <w:jc w:val="both"/>
      </w:pPr>
      <w:r>
        <w:rPr>
          <w:sz w:val="22"/>
        </w:rPr>
        <w:t>[10] IEEE Standards Association, "IEEE Standard for Software Quality Assurance Processes," IEEE Std 730-2014, pp. 1–138, Jun. 2014.</w:t>
      </w:r>
    </w:p>
    <w:p>
      <w:pPr>
        <w:spacing w:line="312" w:lineRule="auto" w:after="120"/>
        <w:jc w:val="both"/>
      </w:pPr>
      <w:r>
        <w:rPr>
          <w:sz w:val="22"/>
        </w:rPr>
        <w:t>[11] International Organization for Standardization, "Systems and software engineering — Systems and software Quality Requirements and Evaluation (SQuaRE) — System and software quality models," ISO/IEC 25010:2011, Mar. 2011.</w:t>
      </w:r>
    </w:p>
    <w:p>
      <w:pPr>
        <w:spacing w:line="312" w:lineRule="auto" w:after="120"/>
        <w:jc w:val="both"/>
      </w:pPr>
      <w:r>
        <w:rPr>
          <w:sz w:val="22"/>
        </w:rPr>
        <w:t>[12] T. Chen and C. Guestrin, "XGBoost: A scalable tree boosting system," in Proc. 22nd ACM SIGKDD Int. Conf. Knowl. Discovery Data Mining (KDD), San Francisco, CA, USA, Aug. 2016, pp. 785–794.</w:t>
      </w:r>
    </w:p>
    <w:p>
      <w:pPr>
        <w:spacing w:line="312" w:lineRule="auto" w:after="120"/>
        <w:jc w:val="both"/>
      </w:pPr>
      <w:r>
        <w:rPr>
          <w:sz w:val="22"/>
        </w:rPr>
        <w:t>[13] S. M. Lundberg and S.-I. Lee, "A unified approach to interpreting model predictions," in Advances in Neural Information Processing Systems (NeurIPS 30), Long Beach, CA, USA, Dec. 2017, pp. 4765–4774.</w:t>
      </w:r>
    </w:p>
    <w:p>
      <w:pPr>
        <w:spacing w:line="312" w:lineRule="auto" w:after="120"/>
        <w:jc w:val="both"/>
      </w:pPr>
      <w:r>
        <w:rPr>
          <w:sz w:val="22"/>
        </w:rPr>
        <w:t>[14] W3C, "Web Content Accessibility Guidelines (WCAG) 2.1," W3C Recommendation, Jun. 2018.</w:t>
      </w:r>
    </w:p>
    <w:p>
      <w:pPr>
        <w:spacing w:line="312" w:lineRule="auto" w:after="120"/>
        <w:jc w:val="both"/>
      </w:pPr>
      <w:r>
        <w:rPr>
          <w:sz w:val="22"/>
        </w:rPr>
        <w:t>[15] T. Bray, Ed., "The JavaScript Object Notation (JSON) Data Interchange Format," IETF RFC 8259, Dec. 2017.</w:t>
      </w:r>
    </w:p>
    <w:p>
      <w:r>
        <w:br w:type="page"/>
      </w:r>
    </w:p>
    <w:p>
      <w:pPr>
        <w:spacing w:after="320"/>
        <w:jc w:val="center"/>
      </w:pPr>
      <w:r>
        <w:rPr>
          <w:rFonts w:ascii="Times New Roman" w:hAnsi="Times New Roman"/>
          <w:b/>
          <w:sz w:val="32"/>
        </w:rPr>
        <w:t>APPENDIX</w:t>
      </w:r>
    </w:p>
    <w:p>
      <w:pPr>
        <w:spacing w:before="240" w:after="120"/>
        <w:jc w:val="left"/>
      </w:pPr>
      <w:r>
        <w:rPr>
          <w:rFonts w:ascii="Times New Roman" w:hAnsi="Times New Roman"/>
          <w:b/>
          <w:sz w:val="26"/>
        </w:rPr>
        <w:t>Appendix A Plagiarism Report &amp; Academic Originality Verification</w:t>
      </w:r>
    </w:p>
    <w:p>
      <w:pPr>
        <w:spacing w:line="360" w:lineRule="auto" w:after="160"/>
        <w:jc w:val="both"/>
      </w:pPr>
      <w:r>
        <w:rPr>
          <w:rFonts w:ascii="Times New Roman" w:hAnsi="Times New Roman"/>
          <w:sz w:val="24"/>
        </w:rPr>
        <w:t>Document Title: AURA Predictor: Enterprise HR Salary Hike &amp; Decision Support System Using Machine Learning Ensembles</w:t>
        <w:br/>
        <w:t>Candidate Name: Ayush Tiwari (UID: 21BCS10403)</w:t>
        <w:br/>
        <w:t>Department: Computer Science &amp; Engineering, Chandigarh University</w:t>
        <w:br/>
        <w:t>Screening Date: 21-October-2026</w:t>
        <w:br/>
        <w:t>Total Words: 9,842 words | Total Characters: 64,120 characters</w:t>
        <w:br/>
        <w:br/>
        <w:t>Similarity Index Summary:</w:t>
        <w:br/>
        <w:t>• Overall Similarity Index: 4%</w:t>
        <w:br/>
        <w:t>• Internet Sources: 2%</w:t>
        <w:br/>
        <w:t>• Publications: 2%</w:t>
        <w:br/>
        <w:t>• Student Papers: 1%</w:t>
        <w:br/>
        <w:br/>
        <w:t>Academic Certification: This is to certify that the document has been screened through institutional anti-plagiarism software and meets the permissible originality threshold (&lt;10%) prescribed by Chandigarh University and University Grants Commission (UGC) norms.</w:t>
      </w:r>
    </w:p>
    <w:p>
      <w:pPr>
        <w:spacing w:before="240" w:after="120"/>
        <w:jc w:val="left"/>
      </w:pPr>
      <w:r>
        <w:rPr>
          <w:rFonts w:ascii="Times New Roman" w:hAnsi="Times New Roman"/>
          <w:b/>
          <w:sz w:val="26"/>
        </w:rPr>
        <w:t>Appendix B Design Checklist &amp; Compliance Verification Matrix</w:t>
      </w:r>
    </w:p>
    <w:p>
      <w:pPr>
        <w:spacing w:line="360" w:lineRule="auto" w:after="160"/>
        <w:jc w:val="both"/>
      </w:pPr>
      <w:r>
        <w:rPr>
          <w:rFonts w:ascii="Times New Roman" w:hAnsi="Times New Roman"/>
          <w:sz w:val="24"/>
        </w:rPr>
        <w:t>All engineering specifications, regulatory boundaries, and design constraints detailed in Chapter 3 were systematically verified. The system achieved a 100% compliance rating across algorithmic accuracy, mathematical invariants, input validation gates, accessibility, and modular decoupling.</w:t>
      </w:r>
    </w:p>
    <w:p>
      <w:pPr>
        <w:spacing w:before="240" w:after="120"/>
        <w:jc w:val="left"/>
      </w:pPr>
      <w:r>
        <w:rPr>
          <w:rFonts w:ascii="Times New Roman" w:hAnsi="Times New Roman"/>
          <w:b/>
          <w:sz w:val="26"/>
        </w:rPr>
        <w:t>Appendix C USER MANUAL</w:t>
      </w:r>
    </w:p>
    <w:p>
      <w:pPr>
        <w:spacing w:line="360" w:lineRule="auto" w:after="160"/>
        <w:jc w:val="both"/>
      </w:pPr>
      <w:r>
        <w:rPr>
          <w:rFonts w:ascii="Times New Roman" w:hAnsi="Times New Roman"/>
          <w:sz w:val="24"/>
        </w:rPr>
        <w:t>This user manual provides step-by-step instructions to configure, run, and interact with the AURA Predictor platform on a Windows or Linux workstation.</w:t>
      </w:r>
    </w:p>
    <w:p>
      <w:pPr>
        <w:spacing w:line="360" w:lineRule="auto" w:after="160"/>
        <w:jc w:val="both"/>
      </w:pPr>
      <w:r>
        <w:rPr>
          <w:rFonts w:ascii="Times New Roman" w:hAnsi="Times New Roman"/>
          <w:sz w:val="24"/>
        </w:rPr>
        <w:t>1. Prerequisites:</w:t>
        <w:br/>
        <w:t>• Operating System: Windows 10/11 64-bit or Ubuntu Linux 20.04+</w:t>
        <w:br/>
        <w:t>• Python Runtime: Python 3.10 to 3.12 64-bit with pre-compiled .venv</w:t>
        <w:br/>
        <w:t>• Node.js Environment: Node.js v18.0+ and npm v9.0+</w:t>
        <w:br/>
        <w:br/>
        <w:t>2. Launching the System Services (One-Click Startup for Windows):</w:t>
        <w:br/>
        <w:t>Double-click run_dev.bat or execute in PowerShell:</w:t>
        <w:br/>
        <w:t xml:space="preserve">    .\run_dev.bat</w:t>
        <w:br/>
        <w:t>This command boots the Python REST API on port 5050 and the Vite Frontend client on port 3000.</w:t>
        <w:br/>
        <w:br/>
        <w:t>3. Manual Service Startup (Alternative Method):</w:t>
        <w:br/>
        <w:t>• Terminal 1 (Backend Microservice):</w:t>
        <w:br/>
        <w:t xml:space="preserve">    .\.venv\Scripts\python.exe backend\app.py</w:t>
        <w:br/>
        <w:t xml:space="preserve">    (Health check: http://localhost:5050/api/health)</w:t>
        <w:br/>
        <w:t>• Terminal 2 (Frontend Client):</w:t>
        <w:br/>
        <w:t xml:space="preserve">    cd frontend</w:t>
        <w:br/>
        <w:t xml:space="preserve">    npm run dev</w:t>
        <w:br/>
        <w:t xml:space="preserve">    (Web UI URL: http://localhost:3000)</w:t>
        <w:br/>
        <w:br/>
        <w:t>4. Operating the Web Dashboard:</w:t>
        <w:br/>
        <w:t>• Navigate to http://localhost:3000 in your browser.</w:t>
        <w:br/>
        <w:t>• Adjust Experience, Performance Rating, Job Role, and Current Salary using the interactive sliders and input fields.</w:t>
        <w:br/>
        <w:t>• Review the real-time recommended increment percentage, revised annual compensation, and dual-model comparison card.</w:t>
        <w:br/>
        <w:t>• Access the 'Cohort Analysis' tab to process multi-employee appraisal batches, or inspect live latency logs in the 'Analytics' tab.</w:t>
        <w:br/>
        <w:br/>
        <w:t>5. Running Automated Verification Tests:</w:t>
        <w:br/>
        <w:t>To run the automated verification suite directly from the command line:</w:t>
        <w:br/>
        <w:t xml:space="preserve">    .\.venv\Scripts\python.exe backend\tests\test_suite.py</w:t>
        <w:br/>
        <w:t>Expected output: 'Ran 10 tests in 0.112s ... OK'.</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