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2F6F9F"/>
          <w:sz w:val="16"/>
        </w:rPr>
        <w:t>RESTRUCTURING &amp; SPECIAL SITUATIONS</w:t>
      </w:r>
    </w:p>
    <w:p>
      <w:pPr>
        <w:pStyle w:val="Title"/>
      </w:pPr>
      <w:r>
        <w:t>Thames Water — Restructuring &amp; Recapitalisation Analysis</w:t>
      </w:r>
    </w:p>
    <w:p>
      <w:pPr>
        <w:spacing w:after="240"/>
      </w:pPr>
      <w:r>
        <w:rPr>
          <w:color w:val="5C6B7A"/>
          <w:sz w:val="21"/>
        </w:rPr>
        <w:t>Audited portfolio edition · September 2026</w:t>
        <w:br/>
        <w:t>L&amp;VW proposal announced 16 March 2026 · Ayush Chakraborty</w:t>
      </w:r>
    </w:p>
    <w:tbl>
      <w:tblPr>
        <w:tblW w:type="auto" w:w="0"/>
        <w:jc w:val="center"/>
        <w:tblLook w:firstColumn="1" w:firstRow="1" w:lastColumn="0" w:lastRow="0" w:noHBand="0" w:noVBand="1" w:val="04A0"/>
      </w:tblPr>
      <w:tblGrid>
        <w:gridCol w:w="2550"/>
        <w:gridCol w:w="2550"/>
        <w:gridCol w:w="2550"/>
        <w:gridCol w:w="2550"/>
      </w:tblGrid>
      <w:tr>
        <w:tc>
          <w:tcPr>
            <w:tcW w:type="dxa" w:w="2550"/>
            <w:shd w:fill="F5F8FA"/>
            <w:tcMar>
              <w:top w:w="100" w:type="dxa"/>
              <w:start w:w="100" w:type="dxa"/>
              <w:bottom w:w="20" w:type="dxa"/>
              <w:end w:w="100" w:type="dxa"/>
            </w:tcMar>
          </w:tcPr>
          <w:p>
            <w:r>
              <w:rPr>
                <w:b/>
                <w:color w:val="102A43"/>
                <w:sz w:val="28"/>
              </w:rPr>
              <w:t>£3.35bn</w:t>
            </w:r>
          </w:p>
        </w:tc>
        <w:tc>
          <w:tcPr>
            <w:tcW w:type="dxa" w:w="2550"/>
            <w:shd w:fill="F5F8FA"/>
            <w:tcMar>
              <w:top w:w="100" w:type="dxa"/>
              <w:start w:w="100" w:type="dxa"/>
              <w:bottom w:w="20" w:type="dxa"/>
              <w:end w:w="100" w:type="dxa"/>
            </w:tcMar>
          </w:tcPr>
          <w:p>
            <w:r>
              <w:rPr>
                <w:b/>
                <w:color w:val="102A43"/>
                <w:sz w:val="28"/>
              </w:rPr>
              <w:t>£3.25bn</w:t>
            </w:r>
          </w:p>
        </w:tc>
        <w:tc>
          <w:tcPr>
            <w:tcW w:type="dxa" w:w="2550"/>
            <w:shd w:fill="F5F8FA"/>
            <w:tcMar>
              <w:top w:w="100" w:type="dxa"/>
              <w:start w:w="100" w:type="dxa"/>
              <w:bottom w:w="20" w:type="dxa"/>
              <w:end w:w="100" w:type="dxa"/>
            </w:tcMar>
          </w:tcPr>
          <w:p>
            <w:r>
              <w:rPr>
                <w:b/>
                <w:color w:val="102A43"/>
                <w:sz w:val="28"/>
              </w:rPr>
              <w:t>30%</w:t>
            </w:r>
          </w:p>
        </w:tc>
        <w:tc>
          <w:tcPr>
            <w:tcW w:type="dxa" w:w="2550"/>
            <w:shd w:fill="F5F8FA"/>
            <w:tcMar>
              <w:top w:w="100" w:type="dxa"/>
              <w:start w:w="100" w:type="dxa"/>
              <w:bottom w:w="20" w:type="dxa"/>
              <w:end w:w="100" w:type="dxa"/>
            </w:tcMar>
          </w:tcPr>
          <w:p>
            <w:r>
              <w:rPr>
                <w:b/>
                <w:color w:val="102A43"/>
                <w:sz w:val="28"/>
              </w:rPr>
              <w:t>52%</w:t>
            </w:r>
          </w:p>
        </w:tc>
      </w:tr>
      <w:tr>
        <w:tc>
          <w:tcPr>
            <w:tcW w:type="dxa" w:w="2550"/>
            <w:shd w:fill="F5F8FA"/>
            <w:tcMar>
              <w:top w:w="20" w:type="dxa"/>
              <w:start w:w="100" w:type="dxa"/>
              <w:bottom w:w="100" w:type="dxa"/>
              <w:end w:w="100" w:type="dxa"/>
            </w:tcMar>
          </w:tcPr>
          <w:p>
            <w:r>
              <w:rPr>
                <w:color w:val="5C6B7A"/>
                <w:sz w:val="14"/>
              </w:rPr>
              <w:t>Proposed new equity</w:t>
            </w:r>
          </w:p>
        </w:tc>
        <w:tc>
          <w:tcPr>
            <w:tcW w:type="dxa" w:w="2550"/>
            <w:shd w:fill="F5F8FA"/>
            <w:tcMar>
              <w:top w:w="20" w:type="dxa"/>
              <w:start w:w="100" w:type="dxa"/>
              <w:bottom w:w="100" w:type="dxa"/>
              <w:end w:w="100" w:type="dxa"/>
            </w:tcMar>
          </w:tcPr>
          <w:p>
            <w:r>
              <w:rPr>
                <w:color w:val="5C6B7A"/>
                <w:sz w:val="14"/>
              </w:rPr>
              <w:t>New day-one debt</w:t>
            </w:r>
          </w:p>
        </w:tc>
        <w:tc>
          <w:tcPr>
            <w:tcW w:type="dxa" w:w="2550"/>
            <w:shd w:fill="F5F8FA"/>
            <w:tcMar>
              <w:top w:w="20" w:type="dxa"/>
              <w:start w:w="100" w:type="dxa"/>
              <w:bottom w:w="100" w:type="dxa"/>
              <w:end w:w="100" w:type="dxa"/>
            </w:tcMar>
          </w:tcPr>
          <w:p>
            <w:r>
              <w:rPr>
                <w:color w:val="5C6B7A"/>
                <w:sz w:val="14"/>
              </w:rPr>
              <w:t>Class A principal write-off</w:t>
            </w:r>
          </w:p>
        </w:tc>
        <w:tc>
          <w:tcPr>
            <w:tcW w:type="dxa" w:w="2550"/>
            <w:shd w:fill="F5F8FA"/>
            <w:tcMar>
              <w:top w:w="20" w:type="dxa"/>
              <w:start w:w="100" w:type="dxa"/>
              <w:bottom w:w="100" w:type="dxa"/>
              <w:end w:w="100" w:type="dxa"/>
            </w:tcMar>
          </w:tcPr>
          <w:p>
            <w:r>
              <w:rPr>
                <w:color w:val="5C6B7A"/>
                <w:sz w:val="14"/>
              </w:rPr>
              <w:t>Day-one net leverage</w:t>
            </w:r>
          </w:p>
        </w:tc>
      </w:tr>
    </w:tbl>
    <w:p>
      <w:pPr>
        <w:pStyle w:val="Heading1"/>
      </w:pPr>
      <w:r>
        <w:t>Executive summary</w:t>
      </w:r>
    </w:p>
    <w:p>
      <w:r>
        <w:t>London &amp; Valley Water's 16 March 2026 proposal contemplated £3.35bn of new equity and up to £6.55bn of new debt, comprising £3.25bn of new day-one debt and up to £3.30bn of committed undrawn debt. It proposed a 30% principal write-off of Class A debt, full write-off of Class B debt and subordinated debt / existing shareholder equity, and 52% day-one net leverage.</w:t>
      </w:r>
    </w:p>
    <w:tbl>
      <w:tblPr>
        <w:tblW w:type="auto" w:w="0"/>
        <w:jc w:val="center"/>
        <w:tblLook w:firstColumn="1" w:firstRow="1" w:lastColumn="0" w:lastRow="0" w:noHBand="0" w:noVBand="1" w:val="04A0"/>
      </w:tblPr>
      <w:tblGrid>
        <w:gridCol w:w="10200"/>
      </w:tblGrid>
      <w:tr>
        <w:tc>
          <w:tcPr>
            <w:tcW w:type="dxa" w:w="10200"/>
            <w:shd w:fill="F5F8FA"/>
            <w:tcMar>
              <w:top w:w="120" w:type="dxa"/>
              <w:start w:w="140" w:type="dxa"/>
              <w:bottom w:w="120" w:type="dxa"/>
              <w:end w:w="140" w:type="dxa"/>
            </w:tcMar>
          </w:tcPr>
          <w:p>
            <w:pPr>
              <w:spacing w:after="0"/>
            </w:pPr>
            <w:r>
              <w:t>Important status: the proposal was non-binding and, when announced, remained subject to review by Thames Water, Ofwat, other regulators and financial stakeholders. Thames Water stated there was no certainty it would be accepted or finalised in its then-current form.</w:t>
            </w:r>
          </w:p>
        </w:tc>
      </w:tr>
    </w:tbl>
    <w:p>
      <w:pPr>
        <w:pStyle w:val="Heading2"/>
      </w:pPr>
      <w:r>
        <w:t>Audit conclusion</w:t>
      </w:r>
    </w:p>
    <w:p>
      <w:r>
        <w:t>The core proposal terms, the 30 September 2025 pre-restructuring figures used by the model, the RCV/debt-capacity arithmetic and the illustrative bond present-value calculation have been reperformed. The model's central arithmetic is internally consistent. The most important interpretive limitation is that the debt-capacity schedule is a scenario envelope, not a forecast of actual post-restructuring debt.</w:t>
      </w:r>
    </w:p>
    <w:p>
      <w:pPr>
        <w:pStyle w:val="Heading2"/>
      </w:pPr>
      <w:r>
        <w:t>What changed in this edition</w:t>
      </w:r>
    </w:p>
    <w:p>
      <w:r>
        <w:t>This version improves the original report's layout, explicitly labels the proposal as non-binding, separates reported facts from model assumptions, adds subsequent FY26 context, and makes the difference between nominal principal retention and economic recovery clearer.</w:t>
      </w:r>
    </w:p>
    <w:p>
      <w:r>
        <w:br w:type="page"/>
      </w:r>
    </w:p>
    <w:p>
      <w:pPr>
        <w:pStyle w:val="Heading1"/>
      </w:pPr>
      <w:r>
        <w:t>1. Reported position and proposal terms</w:t>
      </w:r>
    </w:p>
    <w:tbl>
      <w:tblPr>
        <w:tblStyle w:val="TableGrid"/>
        <w:tblW w:type="auto" w:w="0"/>
        <w:jc w:val="center"/>
        <w:tblLook w:firstColumn="1" w:firstRow="1" w:lastColumn="0" w:lastRow="0" w:noHBand="0" w:noVBand="1" w:val="04A0"/>
      </w:tblPr>
      <w:tblGrid>
        <w:gridCol w:w="3400"/>
        <w:gridCol w:w="3400"/>
        <w:gridCol w:w="3400"/>
      </w:tblGrid>
      <w:tr>
        <w:tc>
          <w:tcPr>
            <w:tcW w:type="dxa" w:w="4309"/>
            <w:shd w:fill="EAF2F8"/>
            <w:tcMar>
              <w:top w:w="80" w:type="dxa"/>
              <w:start w:w="90" w:type="dxa"/>
              <w:bottom w:w="80" w:type="dxa"/>
              <w:end w:w="90" w:type="dxa"/>
            </w:tcMar>
          </w:tcPr>
          <w:p>
            <w:r>
              <w:rPr>
                <w:b/>
                <w:color w:val="102A43"/>
                <w:sz w:val="16"/>
              </w:rPr>
              <w:t>Metric</w:t>
            </w:r>
          </w:p>
        </w:tc>
        <w:tc>
          <w:tcPr>
            <w:tcW w:type="dxa" w:w="1984"/>
            <w:shd w:fill="EAF2F8"/>
            <w:tcMar>
              <w:top w:w="80" w:type="dxa"/>
              <w:start w:w="90" w:type="dxa"/>
              <w:bottom w:w="80" w:type="dxa"/>
              <w:end w:w="90" w:type="dxa"/>
            </w:tcMar>
          </w:tcPr>
          <w:p>
            <w:r>
              <w:rPr>
                <w:b/>
                <w:color w:val="102A43"/>
                <w:sz w:val="16"/>
              </w:rPr>
              <w:t>30 Sep 2025</w:t>
            </w:r>
          </w:p>
        </w:tc>
        <w:tc>
          <w:tcPr>
            <w:tcW w:type="dxa" w:w="3572"/>
            <w:shd w:fill="EAF2F8"/>
            <w:tcMar>
              <w:top w:w="80" w:type="dxa"/>
              <w:start w:w="90" w:type="dxa"/>
              <w:bottom w:w="80" w:type="dxa"/>
              <w:end w:w="90" w:type="dxa"/>
            </w:tcMar>
          </w:tcPr>
          <w:p>
            <w:r>
              <w:rPr>
                <w:b/>
                <w:color w:val="102A43"/>
                <w:sz w:val="16"/>
              </w:rPr>
              <w:t>Audit status</w:t>
            </w:r>
          </w:p>
        </w:tc>
      </w:tr>
      <w:tr>
        <w:tc>
          <w:tcPr>
            <w:tcW w:type="dxa" w:w="4309"/>
            <w:tcMar>
              <w:top w:w="80" w:type="dxa"/>
              <w:start w:w="90" w:type="dxa"/>
              <w:bottom w:w="80" w:type="dxa"/>
              <w:end w:w="90" w:type="dxa"/>
            </w:tcMar>
            <w:vAlign w:val="center"/>
          </w:tcPr>
          <w:p>
            <w:r>
              <w:rPr>
                <w:sz w:val="16"/>
              </w:rPr>
              <w:t>Statutory net debt</w:t>
            </w:r>
          </w:p>
        </w:tc>
        <w:tc>
          <w:tcPr>
            <w:tcW w:type="dxa" w:w="1984"/>
            <w:tcMar>
              <w:top w:w="80" w:type="dxa"/>
              <w:start w:w="90" w:type="dxa"/>
              <w:bottom w:w="80" w:type="dxa"/>
              <w:end w:w="90" w:type="dxa"/>
            </w:tcMar>
            <w:vAlign w:val="center"/>
          </w:tcPr>
          <w:p>
            <w:r>
              <w:rPr>
                <w:sz w:val="16"/>
              </w:rPr>
              <w:t>£17,626.9m</w:t>
            </w:r>
          </w:p>
        </w:tc>
        <w:tc>
          <w:tcPr>
            <w:tcW w:type="dxa" w:w="3572"/>
            <w:tcMar>
              <w:top w:w="80" w:type="dxa"/>
              <w:start w:w="90" w:type="dxa"/>
              <w:bottom w:w="80" w:type="dxa"/>
              <w:end w:w="90" w:type="dxa"/>
            </w:tcMar>
            <w:vAlign w:val="center"/>
          </w:tcPr>
          <w:p>
            <w:r>
              <w:rPr>
                <w:sz w:val="16"/>
              </w:rPr>
              <w:t>Matches model / reported basis</w:t>
            </w:r>
          </w:p>
        </w:tc>
      </w:tr>
      <w:tr>
        <w:tc>
          <w:tcPr>
            <w:tcW w:type="dxa" w:w="4309"/>
            <w:tcMar>
              <w:top w:w="80" w:type="dxa"/>
              <w:start w:w="90" w:type="dxa"/>
              <w:bottom w:w="80" w:type="dxa"/>
              <w:end w:w="90" w:type="dxa"/>
            </w:tcMar>
            <w:vAlign w:val="center"/>
          </w:tcPr>
          <w:p>
            <w:r>
              <w:rPr>
                <w:sz w:val="16"/>
              </w:rPr>
              <w:t>Covenant net debt</w:t>
            </w:r>
          </w:p>
        </w:tc>
        <w:tc>
          <w:tcPr>
            <w:tcW w:type="dxa" w:w="1984"/>
            <w:tcMar>
              <w:top w:w="80" w:type="dxa"/>
              <w:start w:w="90" w:type="dxa"/>
              <w:bottom w:w="80" w:type="dxa"/>
              <w:end w:w="90" w:type="dxa"/>
            </w:tcMar>
            <w:vAlign w:val="center"/>
          </w:tcPr>
          <w:p>
            <w:r>
              <w:rPr>
                <w:sz w:val="16"/>
              </w:rPr>
              <w:t>£19,337m</w:t>
            </w:r>
          </w:p>
        </w:tc>
        <w:tc>
          <w:tcPr>
            <w:tcW w:type="dxa" w:w="3572"/>
            <w:tcMar>
              <w:top w:w="80" w:type="dxa"/>
              <w:start w:w="90" w:type="dxa"/>
              <w:bottom w:w="80" w:type="dxa"/>
              <w:end w:w="90" w:type="dxa"/>
            </w:tcMar>
            <w:vAlign w:val="center"/>
          </w:tcPr>
          <w:p>
            <w:r>
              <w:rPr>
                <w:sz w:val="16"/>
              </w:rPr>
              <w:t>Matches model / reported basis</w:t>
            </w:r>
          </w:p>
        </w:tc>
      </w:tr>
      <w:tr>
        <w:tc>
          <w:tcPr>
            <w:tcW w:type="dxa" w:w="4309"/>
            <w:tcMar>
              <w:top w:w="80" w:type="dxa"/>
              <w:start w:w="90" w:type="dxa"/>
              <w:bottom w:w="80" w:type="dxa"/>
              <w:end w:w="90" w:type="dxa"/>
            </w:tcMar>
            <w:vAlign w:val="center"/>
          </w:tcPr>
          <w:p>
            <w:r>
              <w:rPr>
                <w:sz w:val="16"/>
              </w:rPr>
              <w:t>Covenant net debt net of TWSSI cash</w:t>
            </w:r>
          </w:p>
        </w:tc>
        <w:tc>
          <w:tcPr>
            <w:tcW w:type="dxa" w:w="1984"/>
            <w:tcMar>
              <w:top w:w="80" w:type="dxa"/>
              <w:start w:w="90" w:type="dxa"/>
              <w:bottom w:w="80" w:type="dxa"/>
              <w:end w:w="90" w:type="dxa"/>
            </w:tcMar>
            <w:vAlign w:val="center"/>
          </w:tcPr>
          <w:p>
            <w:r>
              <w:rPr>
                <w:sz w:val="16"/>
              </w:rPr>
              <w:t>£18,798m</w:t>
            </w:r>
          </w:p>
        </w:tc>
        <w:tc>
          <w:tcPr>
            <w:tcW w:type="dxa" w:w="3572"/>
            <w:tcMar>
              <w:top w:w="80" w:type="dxa"/>
              <w:start w:w="90" w:type="dxa"/>
              <w:bottom w:w="80" w:type="dxa"/>
              <w:end w:w="90" w:type="dxa"/>
            </w:tcMar>
            <w:vAlign w:val="center"/>
          </w:tcPr>
          <w:p>
            <w:r>
              <w:rPr>
                <w:sz w:val="16"/>
              </w:rPr>
              <w:t>Matches model / reported basis</w:t>
            </w:r>
          </w:p>
        </w:tc>
      </w:tr>
      <w:tr>
        <w:tc>
          <w:tcPr>
            <w:tcW w:type="dxa" w:w="4309"/>
            <w:tcMar>
              <w:top w:w="80" w:type="dxa"/>
              <w:start w:w="90" w:type="dxa"/>
              <w:bottom w:w="80" w:type="dxa"/>
              <w:end w:w="90" w:type="dxa"/>
            </w:tcMar>
            <w:vAlign w:val="center"/>
          </w:tcPr>
          <w:p>
            <w:r>
              <w:rPr>
                <w:sz w:val="16"/>
              </w:rPr>
              <w:t>Regulatory Capital Value (RCV)</w:t>
            </w:r>
          </w:p>
        </w:tc>
        <w:tc>
          <w:tcPr>
            <w:tcW w:type="dxa" w:w="1984"/>
            <w:tcMar>
              <w:top w:w="80" w:type="dxa"/>
              <w:start w:w="90" w:type="dxa"/>
              <w:bottom w:w="80" w:type="dxa"/>
              <w:end w:w="90" w:type="dxa"/>
            </w:tcMar>
            <w:vAlign w:val="center"/>
          </w:tcPr>
          <w:p>
            <w:r>
              <w:rPr>
                <w:sz w:val="16"/>
              </w:rPr>
              <w:t>£21,893m</w:t>
            </w:r>
          </w:p>
        </w:tc>
        <w:tc>
          <w:tcPr>
            <w:tcW w:type="dxa" w:w="3572"/>
            <w:tcMar>
              <w:top w:w="80" w:type="dxa"/>
              <w:start w:w="90" w:type="dxa"/>
              <w:bottom w:w="80" w:type="dxa"/>
              <w:end w:w="90" w:type="dxa"/>
            </w:tcMar>
            <w:vAlign w:val="center"/>
          </w:tcPr>
          <w:p>
            <w:r>
              <w:rPr>
                <w:sz w:val="16"/>
              </w:rPr>
              <w:t>Matches model / reported basis</w:t>
            </w:r>
          </w:p>
        </w:tc>
      </w:tr>
      <w:tr>
        <w:tc>
          <w:tcPr>
            <w:tcW w:type="dxa" w:w="4309"/>
            <w:tcMar>
              <w:top w:w="80" w:type="dxa"/>
              <w:start w:w="90" w:type="dxa"/>
              <w:bottom w:w="80" w:type="dxa"/>
              <w:end w:w="90" w:type="dxa"/>
            </w:tcMar>
            <w:vAlign w:val="center"/>
          </w:tcPr>
          <w:p>
            <w:r>
              <w:rPr>
                <w:sz w:val="16"/>
              </w:rPr>
              <w:t>Senior gearing net of TWSSI cash</w:t>
            </w:r>
          </w:p>
        </w:tc>
        <w:tc>
          <w:tcPr>
            <w:tcW w:type="dxa" w:w="1984"/>
            <w:tcMar>
              <w:top w:w="80" w:type="dxa"/>
              <w:start w:w="90" w:type="dxa"/>
              <w:bottom w:w="80" w:type="dxa"/>
              <w:end w:w="90" w:type="dxa"/>
            </w:tcMar>
            <w:vAlign w:val="center"/>
          </w:tcPr>
          <w:p>
            <w:r>
              <w:rPr>
                <w:sz w:val="16"/>
              </w:rPr>
              <w:t>85.9%</w:t>
            </w:r>
          </w:p>
        </w:tc>
        <w:tc>
          <w:tcPr>
            <w:tcW w:type="dxa" w:w="3572"/>
            <w:tcMar>
              <w:top w:w="80" w:type="dxa"/>
              <w:start w:w="90" w:type="dxa"/>
              <w:bottom w:w="80" w:type="dxa"/>
              <w:end w:w="90" w:type="dxa"/>
            </w:tcMar>
            <w:vAlign w:val="center"/>
          </w:tcPr>
          <w:p>
            <w:r>
              <w:rPr>
                <w:sz w:val="16"/>
              </w:rPr>
              <w:t>Matches model / reported basis</w:t>
            </w:r>
          </w:p>
        </w:tc>
      </w:tr>
      <w:tr>
        <w:tc>
          <w:tcPr>
            <w:tcW w:type="dxa" w:w="4309"/>
            <w:tcMar>
              <w:top w:w="80" w:type="dxa"/>
              <w:start w:w="90" w:type="dxa"/>
              <w:bottom w:w="80" w:type="dxa"/>
              <w:end w:w="90" w:type="dxa"/>
            </w:tcMar>
            <w:vAlign w:val="center"/>
          </w:tcPr>
          <w:p>
            <w:r>
              <w:rPr>
                <w:sz w:val="16"/>
              </w:rPr>
              <w:t>Liquidity</w:t>
            </w:r>
          </w:p>
        </w:tc>
        <w:tc>
          <w:tcPr>
            <w:tcW w:type="dxa" w:w="1984"/>
            <w:tcMar>
              <w:top w:w="80" w:type="dxa"/>
              <w:start w:w="90" w:type="dxa"/>
              <w:bottom w:w="80" w:type="dxa"/>
              <w:end w:w="90" w:type="dxa"/>
            </w:tcMar>
            <w:vAlign w:val="center"/>
          </w:tcPr>
          <w:p>
            <w:r>
              <w:rPr>
                <w:sz w:val="16"/>
              </w:rPr>
              <w:t>£861.7m</w:t>
            </w:r>
          </w:p>
        </w:tc>
        <w:tc>
          <w:tcPr>
            <w:tcW w:type="dxa" w:w="3572"/>
            <w:tcMar>
              <w:top w:w="80" w:type="dxa"/>
              <w:start w:w="90" w:type="dxa"/>
              <w:bottom w:w="80" w:type="dxa"/>
              <w:end w:w="90" w:type="dxa"/>
            </w:tcMar>
            <w:vAlign w:val="center"/>
          </w:tcPr>
          <w:p>
            <w:r>
              <w:rPr>
                <w:sz w:val="16"/>
              </w:rPr>
              <w:t>Matches model / reported basis</w:t>
            </w:r>
          </w:p>
        </w:tc>
      </w:tr>
    </w:tbl>
    <w:p>
      <w:pPr>
        <w:pStyle w:val="Heading2"/>
      </w:pPr>
      <w:r>
        <w:t>Proposal terms</w:t>
      </w:r>
    </w:p>
    <w:tbl>
      <w:tblPr>
        <w:tblStyle w:val="TableGrid"/>
        <w:tblW w:type="auto" w:w="0"/>
        <w:jc w:val="center"/>
        <w:tblLook w:firstColumn="1" w:firstRow="1" w:lastColumn="0" w:lastRow="0" w:noHBand="0" w:noVBand="1" w:val="04A0"/>
      </w:tblPr>
      <w:tblGrid>
        <w:gridCol w:w="3400"/>
        <w:gridCol w:w="3400"/>
        <w:gridCol w:w="3400"/>
      </w:tblGrid>
      <w:tr>
        <w:tc>
          <w:tcPr>
            <w:tcW w:type="dxa" w:w="4195"/>
            <w:shd w:fill="EAF2F8"/>
            <w:tcMar>
              <w:top w:w="80" w:type="dxa"/>
              <w:start w:w="90" w:type="dxa"/>
              <w:bottom w:w="80" w:type="dxa"/>
              <w:end w:w="90" w:type="dxa"/>
            </w:tcMar>
          </w:tcPr>
          <w:p>
            <w:r>
              <w:rPr>
                <w:b/>
                <w:color w:val="102A43"/>
                <w:sz w:val="16"/>
              </w:rPr>
              <w:t>Proposal term</w:t>
            </w:r>
          </w:p>
        </w:tc>
        <w:tc>
          <w:tcPr>
            <w:tcW w:type="dxa" w:w="2268"/>
            <w:shd w:fill="EAF2F8"/>
            <w:tcMar>
              <w:top w:w="80" w:type="dxa"/>
              <w:start w:w="90" w:type="dxa"/>
              <w:bottom w:w="80" w:type="dxa"/>
              <w:end w:w="90" w:type="dxa"/>
            </w:tcMar>
          </w:tcPr>
          <w:p>
            <w:r>
              <w:rPr>
                <w:b/>
                <w:color w:val="102A43"/>
                <w:sz w:val="16"/>
              </w:rPr>
              <w:t>Value</w:t>
            </w:r>
          </w:p>
        </w:tc>
        <w:tc>
          <w:tcPr>
            <w:tcW w:type="dxa" w:w="3402"/>
            <w:shd w:fill="EAF2F8"/>
            <w:tcMar>
              <w:top w:w="80" w:type="dxa"/>
              <w:start w:w="90" w:type="dxa"/>
              <w:bottom w:w="80" w:type="dxa"/>
              <w:end w:w="90" w:type="dxa"/>
            </w:tcMar>
          </w:tcPr>
          <w:p>
            <w:r>
              <w:rPr>
                <w:b/>
                <w:color w:val="102A43"/>
                <w:sz w:val="16"/>
              </w:rPr>
              <w:t>Classification</w:t>
            </w:r>
          </w:p>
        </w:tc>
      </w:tr>
      <w:tr>
        <w:tc>
          <w:tcPr>
            <w:tcW w:type="dxa" w:w="4195"/>
            <w:tcMar>
              <w:top w:w="80" w:type="dxa"/>
              <w:start w:w="90" w:type="dxa"/>
              <w:bottom w:w="80" w:type="dxa"/>
              <w:end w:w="90" w:type="dxa"/>
            </w:tcMar>
            <w:vAlign w:val="center"/>
          </w:tcPr>
          <w:p>
            <w:r>
              <w:rPr>
                <w:sz w:val="16"/>
              </w:rPr>
              <w:t>New equity</w:t>
            </w:r>
          </w:p>
        </w:tc>
        <w:tc>
          <w:tcPr>
            <w:tcW w:type="dxa" w:w="2268"/>
            <w:tcMar>
              <w:top w:w="80" w:type="dxa"/>
              <w:start w:w="90" w:type="dxa"/>
              <w:bottom w:w="80" w:type="dxa"/>
              <w:end w:w="90" w:type="dxa"/>
            </w:tcMar>
            <w:vAlign w:val="center"/>
          </w:tcPr>
          <w:p>
            <w:r>
              <w:rPr>
                <w:sz w:val="16"/>
              </w:rPr>
              <w:t>£3.35bn</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New day-one debt</w:t>
            </w:r>
          </w:p>
        </w:tc>
        <w:tc>
          <w:tcPr>
            <w:tcW w:type="dxa" w:w="2268"/>
            <w:tcMar>
              <w:top w:w="80" w:type="dxa"/>
              <w:start w:w="90" w:type="dxa"/>
              <w:bottom w:w="80" w:type="dxa"/>
              <w:end w:w="90" w:type="dxa"/>
            </w:tcMar>
            <w:vAlign w:val="center"/>
          </w:tcPr>
          <w:p>
            <w:r>
              <w:rPr>
                <w:sz w:val="16"/>
              </w:rPr>
              <w:t>£3.25bn</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Committed undrawn debt</w:t>
            </w:r>
          </w:p>
        </w:tc>
        <w:tc>
          <w:tcPr>
            <w:tcW w:type="dxa" w:w="2268"/>
            <w:tcMar>
              <w:top w:w="80" w:type="dxa"/>
              <w:start w:w="90" w:type="dxa"/>
              <w:bottom w:w="80" w:type="dxa"/>
              <w:end w:w="90" w:type="dxa"/>
            </w:tcMar>
            <w:vAlign w:val="center"/>
          </w:tcPr>
          <w:p>
            <w:r>
              <w:rPr>
                <w:sz w:val="16"/>
              </w:rPr>
              <w:t>Up to £3.30bn</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Total potential new debt</w:t>
            </w:r>
          </w:p>
        </w:tc>
        <w:tc>
          <w:tcPr>
            <w:tcW w:type="dxa" w:w="2268"/>
            <w:tcMar>
              <w:top w:w="80" w:type="dxa"/>
              <w:start w:w="90" w:type="dxa"/>
              <w:bottom w:w="80" w:type="dxa"/>
              <w:end w:w="90" w:type="dxa"/>
            </w:tcMar>
            <w:vAlign w:val="center"/>
          </w:tcPr>
          <w:p>
            <w:r>
              <w:rPr>
                <w:sz w:val="16"/>
              </w:rPr>
              <w:t>Up to £6.55bn</w:t>
            </w:r>
          </w:p>
        </w:tc>
        <w:tc>
          <w:tcPr>
            <w:tcW w:type="dxa" w:w="3402"/>
            <w:tcMar>
              <w:top w:w="80" w:type="dxa"/>
              <w:start w:w="90" w:type="dxa"/>
              <w:bottom w:w="80" w:type="dxa"/>
              <w:end w:w="90" w:type="dxa"/>
            </w:tcMar>
            <w:vAlign w:val="center"/>
          </w:tcPr>
          <w:p>
            <w:r>
              <w:rPr>
                <w:sz w:val="16"/>
              </w:rPr>
              <w:t>Derived from proposal components</w:t>
            </w:r>
          </w:p>
        </w:tc>
      </w:tr>
      <w:tr>
        <w:tc>
          <w:tcPr>
            <w:tcW w:type="dxa" w:w="4195"/>
            <w:tcMar>
              <w:top w:w="80" w:type="dxa"/>
              <w:start w:w="90" w:type="dxa"/>
              <w:bottom w:w="80" w:type="dxa"/>
              <w:end w:w="90" w:type="dxa"/>
            </w:tcMar>
            <w:vAlign w:val="center"/>
          </w:tcPr>
          <w:p>
            <w:r>
              <w:rPr>
                <w:sz w:val="16"/>
              </w:rPr>
              <w:t>Class A principal write-off</w:t>
            </w:r>
          </w:p>
        </w:tc>
        <w:tc>
          <w:tcPr>
            <w:tcW w:type="dxa" w:w="2268"/>
            <w:tcMar>
              <w:top w:w="80" w:type="dxa"/>
              <w:start w:w="90" w:type="dxa"/>
              <w:bottom w:w="80" w:type="dxa"/>
              <w:end w:w="90" w:type="dxa"/>
            </w:tcMar>
            <w:vAlign w:val="center"/>
          </w:tcPr>
          <w:p>
            <w:r>
              <w:rPr>
                <w:sz w:val="16"/>
              </w:rPr>
              <w:t>30%</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Class B / subordinated / existing equity</w:t>
            </w:r>
          </w:p>
        </w:tc>
        <w:tc>
          <w:tcPr>
            <w:tcW w:type="dxa" w:w="2268"/>
            <w:tcMar>
              <w:top w:w="80" w:type="dxa"/>
              <w:start w:w="90" w:type="dxa"/>
              <w:bottom w:w="80" w:type="dxa"/>
              <w:end w:w="90" w:type="dxa"/>
            </w:tcMar>
            <w:vAlign w:val="center"/>
          </w:tcPr>
          <w:p>
            <w:r>
              <w:rPr>
                <w:sz w:val="16"/>
              </w:rPr>
              <w:t>Full write-off</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Day-one net leverage</w:t>
            </w:r>
          </w:p>
        </w:tc>
        <w:tc>
          <w:tcPr>
            <w:tcW w:type="dxa" w:w="2268"/>
            <w:tcMar>
              <w:top w:w="80" w:type="dxa"/>
              <w:start w:w="90" w:type="dxa"/>
              <w:bottom w:w="80" w:type="dxa"/>
              <w:end w:w="90" w:type="dxa"/>
            </w:tcMar>
            <w:vAlign w:val="center"/>
          </w:tcPr>
          <w:p>
            <w:r>
              <w:rPr>
                <w:sz w:val="16"/>
              </w:rPr>
              <w:t>52%</w:t>
            </w:r>
          </w:p>
        </w:tc>
        <w:tc>
          <w:tcPr>
            <w:tcW w:type="dxa" w:w="3402"/>
            <w:tcMar>
              <w:top w:w="80" w:type="dxa"/>
              <w:start w:w="90" w:type="dxa"/>
              <w:bottom w:w="80" w:type="dxa"/>
              <w:end w:w="90" w:type="dxa"/>
            </w:tcMar>
            <w:vAlign w:val="center"/>
          </w:tcPr>
          <w:p>
            <w:r>
              <w:rPr>
                <w:sz w:val="16"/>
              </w:rPr>
              <w:t>Reported proposal term</w:t>
            </w:r>
          </w:p>
        </w:tc>
      </w:tr>
      <w:tr>
        <w:tc>
          <w:tcPr>
            <w:tcW w:type="dxa" w:w="4195"/>
            <w:tcMar>
              <w:top w:w="80" w:type="dxa"/>
              <w:start w:w="90" w:type="dxa"/>
              <w:bottom w:w="80" w:type="dxa"/>
              <w:end w:w="90" w:type="dxa"/>
            </w:tcMar>
            <w:vAlign w:val="center"/>
          </w:tcPr>
          <w:p>
            <w:r>
              <w:rPr>
                <w:sz w:val="16"/>
              </w:rPr>
              <w:t>End-AMP net leverage</w:t>
            </w:r>
          </w:p>
        </w:tc>
        <w:tc>
          <w:tcPr>
            <w:tcW w:type="dxa" w:w="2268"/>
            <w:tcMar>
              <w:top w:w="80" w:type="dxa"/>
              <w:start w:w="90" w:type="dxa"/>
              <w:bottom w:w="80" w:type="dxa"/>
              <w:end w:w="90" w:type="dxa"/>
            </w:tcMar>
            <w:vAlign w:val="center"/>
          </w:tcPr>
          <w:p>
            <w:r>
              <w:rPr>
                <w:sz w:val="16"/>
              </w:rPr>
              <w:t>c.60%</w:t>
            </w:r>
          </w:p>
        </w:tc>
        <w:tc>
          <w:tcPr>
            <w:tcW w:type="dxa" w:w="3402"/>
            <w:tcMar>
              <w:top w:w="80" w:type="dxa"/>
              <w:start w:w="90" w:type="dxa"/>
              <w:bottom w:w="80" w:type="dxa"/>
              <w:end w:w="90" w:type="dxa"/>
            </w:tcMar>
            <w:vAlign w:val="center"/>
          </w:tcPr>
          <w:p>
            <w:r>
              <w:rPr>
                <w:sz w:val="16"/>
              </w:rPr>
              <w:t>Reported proposal assumption</w:t>
            </w:r>
          </w:p>
        </w:tc>
      </w:tr>
      <w:tr>
        <w:tc>
          <w:tcPr>
            <w:tcW w:type="dxa" w:w="4195"/>
            <w:tcMar>
              <w:top w:w="80" w:type="dxa"/>
              <w:start w:w="90" w:type="dxa"/>
              <w:bottom w:w="80" w:type="dxa"/>
              <w:end w:w="90" w:type="dxa"/>
            </w:tcMar>
            <w:vAlign w:val="center"/>
          </w:tcPr>
          <w:p>
            <w:r>
              <w:rPr>
                <w:sz w:val="16"/>
              </w:rPr>
              <w:t>Long-term net gearing target</w:t>
            </w:r>
          </w:p>
        </w:tc>
        <w:tc>
          <w:tcPr>
            <w:tcW w:type="dxa" w:w="2268"/>
            <w:tcMar>
              <w:top w:w="80" w:type="dxa"/>
              <w:start w:w="90" w:type="dxa"/>
              <w:bottom w:w="80" w:type="dxa"/>
              <w:end w:w="90" w:type="dxa"/>
            </w:tcMar>
            <w:vAlign w:val="center"/>
          </w:tcPr>
          <w:p>
            <w:r>
              <w:rPr>
                <w:sz w:val="16"/>
              </w:rPr>
              <w:t>≤65%</w:t>
            </w:r>
          </w:p>
        </w:tc>
        <w:tc>
          <w:tcPr>
            <w:tcW w:type="dxa" w:w="3402"/>
            <w:tcMar>
              <w:top w:w="80" w:type="dxa"/>
              <w:start w:w="90" w:type="dxa"/>
              <w:bottom w:w="80" w:type="dxa"/>
              <w:end w:w="90" w:type="dxa"/>
            </w:tcMar>
            <w:vAlign w:val="center"/>
          </w:tcPr>
          <w:p>
            <w:r>
              <w:rPr>
                <w:sz w:val="16"/>
              </w:rPr>
              <w:t>Reported proposal target</w:t>
            </w:r>
          </w:p>
        </w:tc>
      </w:tr>
    </w:tbl>
    <w:p>
      <w:pPr>
        <w:pStyle w:val="Heading2"/>
      </w:pPr>
      <w:r>
        <w:t>Subsequent FY26 context</w:t>
      </w:r>
    </w:p>
    <w:p>
      <w:r>
        <w:t>The model intentionally anchors its pre-restructuring snapshot at 30 September 2025. For context, Thames Water's later FY2025/26 annual results reported statutory net debt of £18.516bn, RCV of £22.725bn, gearing of 86.1% and liquidity of £1.038bn at 31 March 2026. Those later figures should not be silently substituted into a model that is explicitly analysing the position around the March 2026 proposal.</w:t>
      </w:r>
    </w:p>
    <w:p>
      <w:pPr>
        <w:pStyle w:val="Heading2"/>
      </w:pPr>
      <w:r>
        <w:t>Interpretation</w:t>
      </w:r>
    </w:p>
    <w:p>
      <w:r>
        <w:t>The £3.25bn day-one debt figure is new debt; it is not the same thing as total post-restructuring debt. Any integrated capital-structure forecast would also need the reinstated Class A terms, actual drawdowns, cash balances, operating cash flow and capital expenditure.</w:t>
      </w:r>
    </w:p>
    <w:p>
      <w:r>
        <w:br w:type="page"/>
      </w:r>
    </w:p>
    <w:p>
      <w:pPr>
        <w:pStyle w:val="Heading1"/>
      </w:pPr>
      <w:r>
        <w:t>2. RCV / debt-capacity scenario</w:t>
      </w:r>
    </w:p>
    <w:p>
      <w:r>
        <w:t>The workbook assumes 5% annual RCV growth for four periods and prescribes a gearing path from 54% to 60%. Debt capacity is then calculated as RCV × target gearing. These are illustrative model assumptions, not Thames Water guidance.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587"/>
            <w:shd w:fill="EAF2F8"/>
            <w:tcMar>
              <w:top w:w="80" w:type="dxa"/>
              <w:start w:w="90" w:type="dxa"/>
              <w:bottom w:w="80" w:type="dxa"/>
              <w:end w:w="90" w:type="dxa"/>
            </w:tcMar>
          </w:tcPr>
          <w:p>
            <w:r>
              <w:rPr>
                <w:b/>
                <w:color w:val="102A43"/>
                <w:sz w:val="16"/>
              </w:rPr>
              <w:t>Period</w:t>
            </w:r>
          </w:p>
        </w:tc>
        <w:tc>
          <w:tcPr>
            <w:tcW w:type="dxa" w:w="2381"/>
            <w:shd w:fill="EAF2F8"/>
            <w:tcMar>
              <w:top w:w="80" w:type="dxa"/>
              <w:start w:w="90" w:type="dxa"/>
              <w:bottom w:w="80" w:type="dxa"/>
              <w:end w:w="90" w:type="dxa"/>
            </w:tcMar>
          </w:tcPr>
          <w:p>
            <w:r>
              <w:rPr>
                <w:b/>
                <w:color w:val="102A43"/>
                <w:sz w:val="16"/>
              </w:rPr>
              <w:t>Illustrative RCV</w:t>
            </w:r>
          </w:p>
        </w:tc>
        <w:tc>
          <w:tcPr>
            <w:tcW w:type="dxa" w:w="2041"/>
            <w:shd w:fill="EAF2F8"/>
            <w:tcMar>
              <w:top w:w="80" w:type="dxa"/>
              <w:start w:w="90" w:type="dxa"/>
              <w:bottom w:w="80" w:type="dxa"/>
              <w:end w:w="90" w:type="dxa"/>
            </w:tcMar>
          </w:tcPr>
          <w:p>
            <w:r>
              <w:rPr>
                <w:b/>
                <w:color w:val="102A43"/>
                <w:sz w:val="16"/>
              </w:rPr>
              <w:t>Target gearing</w:t>
            </w:r>
          </w:p>
        </w:tc>
        <w:tc>
          <w:tcPr>
            <w:tcW w:type="dxa" w:w="2438"/>
            <w:shd w:fill="EAF2F8"/>
            <w:tcMar>
              <w:top w:w="80" w:type="dxa"/>
              <w:start w:w="90" w:type="dxa"/>
              <w:bottom w:w="80" w:type="dxa"/>
              <w:end w:w="90" w:type="dxa"/>
            </w:tcMar>
          </w:tcPr>
          <w:p>
            <w:r>
              <w:rPr>
                <w:b/>
                <w:color w:val="102A43"/>
                <w:sz w:val="16"/>
              </w:rPr>
              <w:t>Debt capacity</w:t>
            </w:r>
          </w:p>
        </w:tc>
        <w:tc>
          <w:tcPr>
            <w:tcW w:type="dxa" w:w="1417"/>
            <w:shd w:fill="EAF2F8"/>
            <w:tcMar>
              <w:top w:w="80" w:type="dxa"/>
              <w:start w:w="90" w:type="dxa"/>
              <w:bottom w:w="80" w:type="dxa"/>
              <w:end w:w="90" w:type="dxa"/>
            </w:tcMar>
          </w:tcPr>
          <w:p>
            <w:r>
              <w:rPr>
                <w:b/>
                <w:color w:val="102A43"/>
                <w:sz w:val="16"/>
              </w:rPr>
              <w:t>Reperformed</w:t>
            </w:r>
          </w:p>
        </w:tc>
      </w:tr>
      <w:tr>
        <w:tc>
          <w:tcPr>
            <w:tcW w:type="dxa" w:w="1587"/>
            <w:tcMar>
              <w:top w:w="80" w:type="dxa"/>
              <w:start w:w="90" w:type="dxa"/>
              <w:bottom w:w="80" w:type="dxa"/>
              <w:end w:w="90" w:type="dxa"/>
            </w:tcMar>
            <w:vAlign w:val="center"/>
          </w:tcPr>
          <w:p>
            <w:r>
              <w:rPr>
                <w:sz w:val="16"/>
              </w:rPr>
              <w:t>FY27E</w:t>
            </w:r>
          </w:p>
        </w:tc>
        <w:tc>
          <w:tcPr>
            <w:tcW w:type="dxa" w:w="2381"/>
            <w:tcMar>
              <w:top w:w="80" w:type="dxa"/>
              <w:start w:w="90" w:type="dxa"/>
              <w:bottom w:w="80" w:type="dxa"/>
              <w:end w:w="90" w:type="dxa"/>
            </w:tcMar>
            <w:vAlign w:val="center"/>
          </w:tcPr>
          <w:p>
            <w:r>
              <w:rPr>
                <w:sz w:val="16"/>
              </w:rPr>
              <w:t>£22.988bn</w:t>
            </w:r>
          </w:p>
        </w:tc>
        <w:tc>
          <w:tcPr>
            <w:tcW w:type="dxa" w:w="2041"/>
            <w:tcMar>
              <w:top w:w="80" w:type="dxa"/>
              <w:start w:w="90" w:type="dxa"/>
              <w:bottom w:w="80" w:type="dxa"/>
              <w:end w:w="90" w:type="dxa"/>
            </w:tcMar>
            <w:vAlign w:val="center"/>
          </w:tcPr>
          <w:p>
            <w:r>
              <w:rPr>
                <w:sz w:val="16"/>
              </w:rPr>
              <w:t>54%</w:t>
            </w:r>
          </w:p>
        </w:tc>
        <w:tc>
          <w:tcPr>
            <w:tcW w:type="dxa" w:w="2438"/>
            <w:tcMar>
              <w:top w:w="80" w:type="dxa"/>
              <w:start w:w="90" w:type="dxa"/>
              <w:bottom w:w="80" w:type="dxa"/>
              <w:end w:w="90" w:type="dxa"/>
            </w:tcMar>
            <w:vAlign w:val="center"/>
          </w:tcPr>
          <w:p>
            <w:r>
              <w:rPr>
                <w:sz w:val="16"/>
              </w:rPr>
              <w:t>£12.413bn</w:t>
            </w:r>
          </w:p>
        </w:tc>
        <w:tc>
          <w:tcPr>
            <w:tcW w:type="dxa" w:w="1417"/>
            <w:tcMar>
              <w:top w:w="80" w:type="dxa"/>
              <w:start w:w="90" w:type="dxa"/>
              <w:bottom w:w="80" w:type="dxa"/>
              <w:end w:w="90" w:type="dxa"/>
            </w:tcMar>
            <w:vAlign w:val="center"/>
          </w:tcPr>
          <w:p>
            <w:r>
              <w:rPr>
                <w:sz w:val="16"/>
              </w:rPr>
              <w:t>Yes</w:t>
            </w:r>
          </w:p>
        </w:tc>
      </w:tr>
      <w:tr>
        <w:tc>
          <w:tcPr>
            <w:tcW w:type="dxa" w:w="1587"/>
            <w:tcMar>
              <w:top w:w="80" w:type="dxa"/>
              <w:start w:w="90" w:type="dxa"/>
              <w:bottom w:w="80" w:type="dxa"/>
              <w:end w:w="90" w:type="dxa"/>
            </w:tcMar>
            <w:vAlign w:val="center"/>
          </w:tcPr>
          <w:p>
            <w:r>
              <w:rPr>
                <w:sz w:val="16"/>
              </w:rPr>
              <w:t>FY28E</w:t>
            </w:r>
          </w:p>
        </w:tc>
        <w:tc>
          <w:tcPr>
            <w:tcW w:type="dxa" w:w="2381"/>
            <w:tcMar>
              <w:top w:w="80" w:type="dxa"/>
              <w:start w:w="90" w:type="dxa"/>
              <w:bottom w:w="80" w:type="dxa"/>
              <w:end w:w="90" w:type="dxa"/>
            </w:tcMar>
            <w:vAlign w:val="center"/>
          </w:tcPr>
          <w:p>
            <w:r>
              <w:rPr>
                <w:sz w:val="16"/>
              </w:rPr>
              <w:t>£24.137bn</w:t>
            </w:r>
          </w:p>
        </w:tc>
        <w:tc>
          <w:tcPr>
            <w:tcW w:type="dxa" w:w="2041"/>
            <w:tcMar>
              <w:top w:w="80" w:type="dxa"/>
              <w:start w:w="90" w:type="dxa"/>
              <w:bottom w:w="80" w:type="dxa"/>
              <w:end w:w="90" w:type="dxa"/>
            </w:tcMar>
            <w:vAlign w:val="center"/>
          </w:tcPr>
          <w:p>
            <w:r>
              <w:rPr>
                <w:sz w:val="16"/>
              </w:rPr>
              <w:t>56%</w:t>
            </w:r>
          </w:p>
        </w:tc>
        <w:tc>
          <w:tcPr>
            <w:tcW w:type="dxa" w:w="2438"/>
            <w:tcMar>
              <w:top w:w="80" w:type="dxa"/>
              <w:start w:w="90" w:type="dxa"/>
              <w:bottom w:w="80" w:type="dxa"/>
              <w:end w:w="90" w:type="dxa"/>
            </w:tcMar>
            <w:vAlign w:val="center"/>
          </w:tcPr>
          <w:p>
            <w:r>
              <w:rPr>
                <w:sz w:val="16"/>
              </w:rPr>
              <w:t>£13.517bn</w:t>
            </w:r>
          </w:p>
        </w:tc>
        <w:tc>
          <w:tcPr>
            <w:tcW w:type="dxa" w:w="1417"/>
            <w:tcMar>
              <w:top w:w="80" w:type="dxa"/>
              <w:start w:w="90" w:type="dxa"/>
              <w:bottom w:w="80" w:type="dxa"/>
              <w:end w:w="90" w:type="dxa"/>
            </w:tcMar>
            <w:vAlign w:val="center"/>
          </w:tcPr>
          <w:p>
            <w:r>
              <w:rPr>
                <w:sz w:val="16"/>
              </w:rPr>
              <w:t>Yes</w:t>
            </w:r>
          </w:p>
        </w:tc>
      </w:tr>
      <w:tr>
        <w:tc>
          <w:tcPr>
            <w:tcW w:type="dxa" w:w="1587"/>
            <w:tcMar>
              <w:top w:w="80" w:type="dxa"/>
              <w:start w:w="90" w:type="dxa"/>
              <w:bottom w:w="80" w:type="dxa"/>
              <w:end w:w="90" w:type="dxa"/>
            </w:tcMar>
            <w:vAlign w:val="center"/>
          </w:tcPr>
          <w:p>
            <w:r>
              <w:rPr>
                <w:sz w:val="16"/>
              </w:rPr>
              <w:t>FY29E</w:t>
            </w:r>
          </w:p>
        </w:tc>
        <w:tc>
          <w:tcPr>
            <w:tcW w:type="dxa" w:w="2381"/>
            <w:tcMar>
              <w:top w:w="80" w:type="dxa"/>
              <w:start w:w="90" w:type="dxa"/>
              <w:bottom w:w="80" w:type="dxa"/>
              <w:end w:w="90" w:type="dxa"/>
            </w:tcMar>
            <w:vAlign w:val="center"/>
          </w:tcPr>
          <w:p>
            <w:r>
              <w:rPr>
                <w:sz w:val="16"/>
              </w:rPr>
              <w:t>£25.344bn</w:t>
            </w:r>
          </w:p>
        </w:tc>
        <w:tc>
          <w:tcPr>
            <w:tcW w:type="dxa" w:w="2041"/>
            <w:tcMar>
              <w:top w:w="80" w:type="dxa"/>
              <w:start w:w="90" w:type="dxa"/>
              <w:bottom w:w="80" w:type="dxa"/>
              <w:end w:w="90" w:type="dxa"/>
            </w:tcMar>
            <w:vAlign w:val="center"/>
          </w:tcPr>
          <w:p>
            <w:r>
              <w:rPr>
                <w:sz w:val="16"/>
              </w:rPr>
              <w:t>58%</w:t>
            </w:r>
          </w:p>
        </w:tc>
        <w:tc>
          <w:tcPr>
            <w:tcW w:type="dxa" w:w="2438"/>
            <w:tcMar>
              <w:top w:w="80" w:type="dxa"/>
              <w:start w:w="90" w:type="dxa"/>
              <w:bottom w:w="80" w:type="dxa"/>
              <w:end w:w="90" w:type="dxa"/>
            </w:tcMar>
            <w:vAlign w:val="center"/>
          </w:tcPr>
          <w:p>
            <w:r>
              <w:rPr>
                <w:sz w:val="16"/>
              </w:rPr>
              <w:t>£14.699bn</w:t>
            </w:r>
          </w:p>
        </w:tc>
        <w:tc>
          <w:tcPr>
            <w:tcW w:type="dxa" w:w="1417"/>
            <w:tcMar>
              <w:top w:w="80" w:type="dxa"/>
              <w:start w:w="90" w:type="dxa"/>
              <w:bottom w:w="80" w:type="dxa"/>
              <w:end w:w="90" w:type="dxa"/>
            </w:tcMar>
            <w:vAlign w:val="center"/>
          </w:tcPr>
          <w:p>
            <w:r>
              <w:rPr>
                <w:sz w:val="16"/>
              </w:rPr>
              <w:t>Yes</w:t>
            </w:r>
          </w:p>
        </w:tc>
      </w:tr>
      <w:tr>
        <w:tc>
          <w:tcPr>
            <w:tcW w:type="dxa" w:w="1587"/>
            <w:tcMar>
              <w:top w:w="80" w:type="dxa"/>
              <w:start w:w="90" w:type="dxa"/>
              <w:bottom w:w="80" w:type="dxa"/>
              <w:end w:w="90" w:type="dxa"/>
            </w:tcMar>
            <w:vAlign w:val="center"/>
          </w:tcPr>
          <w:p>
            <w:r>
              <w:rPr>
                <w:sz w:val="16"/>
              </w:rPr>
              <w:t>FY30E</w:t>
            </w:r>
          </w:p>
        </w:tc>
        <w:tc>
          <w:tcPr>
            <w:tcW w:type="dxa" w:w="2381"/>
            <w:tcMar>
              <w:top w:w="80" w:type="dxa"/>
              <w:start w:w="90" w:type="dxa"/>
              <w:bottom w:w="80" w:type="dxa"/>
              <w:end w:w="90" w:type="dxa"/>
            </w:tcMar>
            <w:vAlign w:val="center"/>
          </w:tcPr>
          <w:p>
            <w:r>
              <w:rPr>
                <w:sz w:val="16"/>
              </w:rPr>
              <w:t>£26.611bn</w:t>
            </w:r>
          </w:p>
        </w:tc>
        <w:tc>
          <w:tcPr>
            <w:tcW w:type="dxa" w:w="2041"/>
            <w:tcMar>
              <w:top w:w="80" w:type="dxa"/>
              <w:start w:w="90" w:type="dxa"/>
              <w:bottom w:w="80" w:type="dxa"/>
              <w:end w:w="90" w:type="dxa"/>
            </w:tcMar>
            <w:vAlign w:val="center"/>
          </w:tcPr>
          <w:p>
            <w:r>
              <w:rPr>
                <w:sz w:val="16"/>
              </w:rPr>
              <w:t>60%</w:t>
            </w:r>
          </w:p>
        </w:tc>
        <w:tc>
          <w:tcPr>
            <w:tcW w:type="dxa" w:w="2438"/>
            <w:tcMar>
              <w:top w:w="80" w:type="dxa"/>
              <w:start w:w="90" w:type="dxa"/>
              <w:bottom w:w="80" w:type="dxa"/>
              <w:end w:w="90" w:type="dxa"/>
            </w:tcMar>
            <w:vAlign w:val="center"/>
          </w:tcPr>
          <w:p>
            <w:r>
              <w:rPr>
                <w:sz w:val="16"/>
              </w:rPr>
              <w:t>£15.967bn</w:t>
            </w:r>
          </w:p>
        </w:tc>
        <w:tc>
          <w:tcPr>
            <w:tcW w:type="dxa" w:w="1417"/>
            <w:tcMar>
              <w:top w:w="80" w:type="dxa"/>
              <w:start w:w="90" w:type="dxa"/>
              <w:bottom w:w="80" w:type="dxa"/>
              <w:end w:w="90" w:type="dxa"/>
            </w:tcMar>
            <w:vAlign w:val="center"/>
          </w:tcPr>
          <w:p>
            <w:r>
              <w:rPr>
                <w:sz w:val="16"/>
              </w:rPr>
              <w:t>Yes</w:t>
            </w:r>
          </w:p>
        </w:tc>
      </w:tr>
    </w:tbl>
    <w:p>
      <w:pPr>
        <w:pStyle w:val="Heading2"/>
      </w:pPr>
      <w:r>
        <w:t>Reperformance</w:t>
      </w:r>
    </w:p>
    <w:p>
      <w:r>
        <w:t>Starting from £21.893bn, four years of 5% compound RCV growth gives £26.611bn in FY30E. Applying 60% gearing gives £15.967bn of illustrative debt capacity. This reproduces the workbook's £15.967bn result.</w:t>
      </w:r>
    </w:p>
    <w:p>
      <w:pPr>
        <w:pStyle w:val="Heading2"/>
      </w:pPr>
      <w:r>
        <w:t>Why this is not a debt forecast</w:t>
      </w:r>
    </w:p>
    <w:p>
      <w:r>
        <w:t>The schedule back-solves a leverage envelope from assumed RCV and gearing. It does not model interest, cash generation, AMP8 capex, reinstated debt amortisation, new-debt drawdowns or cash balances. It is therefore useful as a capital-structure sensitivity, but should not be described as forecast debt.</w:t>
      </w:r>
    </w:p>
    <w:p>
      <w:pPr>
        <w:pStyle w:val="Heading2"/>
      </w:pPr>
      <w:r>
        <w:t>Model design assessment</w:t>
      </w:r>
    </w:p>
    <w:p>
      <w:r>
        <w:t>The workbook is appropriately transparent for a portfolio project: reported inputs are separated from proposal terms, the RCV scenario is formula-driven, and the explanatory note explicitly warns that it is not an integrated operating cash-flow forecast. No obvious formula errors were identified in the key calculation ranges.</w:t>
      </w:r>
    </w:p>
    <w:p>
      <w:r>
        <w:br w:type="page"/>
      </w:r>
    </w:p>
    <w:p>
      <w:pPr>
        <w:pStyle w:val="Heading1"/>
      </w:pPr>
      <w:r>
        <w:t>3. Class A nominal vs economic recovery</w:t>
      </w:r>
    </w:p>
    <w:p>
      <w:r>
        <w:t>A 30% principal write-off means 70% of principal is nominally retained. That is not the same as a 70% economic recovery because the value of the reinstated instrument depends on coupon, maturity and the required discount rate.</w:t>
      </w:r>
    </w:p>
    <w:tbl>
      <w:tblPr>
        <w:tblStyle w:val="TableGrid"/>
        <w:tblW w:type="auto" w:w="0"/>
        <w:jc w:val="center"/>
        <w:tblLook w:firstColumn="1" w:firstRow="1" w:lastColumn="0" w:lastRow="0" w:noHBand="0" w:noVBand="1" w:val="04A0"/>
      </w:tblPr>
      <w:tblGrid>
        <w:gridCol w:w="5100"/>
        <w:gridCol w:w="5100"/>
      </w:tblGrid>
      <w:tr>
        <w:tc>
          <w:tcPr>
            <w:tcW w:type="dxa" w:w="5386"/>
            <w:shd w:fill="EAF2F8"/>
            <w:tcMar>
              <w:top w:w="80" w:type="dxa"/>
              <w:start w:w="90" w:type="dxa"/>
              <w:bottom w:w="80" w:type="dxa"/>
              <w:end w:w="90" w:type="dxa"/>
            </w:tcMar>
          </w:tcPr>
          <w:p>
            <w:r>
              <w:rPr>
                <w:b/>
                <w:color w:val="102A43"/>
                <w:sz w:val="16"/>
              </w:rPr>
              <w:t>Illustrative assumption</w:t>
            </w:r>
          </w:p>
        </w:tc>
        <w:tc>
          <w:tcPr>
            <w:tcW w:type="dxa" w:w="4479"/>
            <w:shd w:fill="EAF2F8"/>
            <w:tcMar>
              <w:top w:w="80" w:type="dxa"/>
              <w:start w:w="90" w:type="dxa"/>
              <w:bottom w:w="80" w:type="dxa"/>
              <w:end w:w="90" w:type="dxa"/>
            </w:tcMar>
          </w:tcPr>
          <w:p>
            <w:r>
              <w:rPr>
                <w:b/>
                <w:color w:val="102A43"/>
                <w:sz w:val="16"/>
              </w:rPr>
              <w:t>Value</w:t>
            </w:r>
          </w:p>
        </w:tc>
      </w:tr>
      <w:tr>
        <w:tc>
          <w:tcPr>
            <w:tcW w:type="dxa" w:w="5386"/>
            <w:tcMar>
              <w:top w:w="80" w:type="dxa"/>
              <w:start w:w="90" w:type="dxa"/>
              <w:bottom w:w="80" w:type="dxa"/>
              <w:end w:w="90" w:type="dxa"/>
            </w:tcMar>
            <w:vAlign w:val="center"/>
          </w:tcPr>
          <w:p>
            <w:r>
              <w:rPr>
                <w:sz w:val="16"/>
              </w:rPr>
              <w:t>Original Class A claim</w:t>
            </w:r>
          </w:p>
        </w:tc>
        <w:tc>
          <w:tcPr>
            <w:tcW w:type="dxa" w:w="4479"/>
            <w:tcMar>
              <w:top w:w="80" w:type="dxa"/>
              <w:start w:w="90" w:type="dxa"/>
              <w:bottom w:w="80" w:type="dxa"/>
              <w:end w:w="90" w:type="dxa"/>
            </w:tcMar>
            <w:vAlign w:val="center"/>
          </w:tcPr>
          <w:p>
            <w:r>
              <w:rPr>
                <w:sz w:val="16"/>
              </w:rPr>
              <w:t>£15.0bn</w:t>
            </w:r>
          </w:p>
        </w:tc>
      </w:tr>
      <w:tr>
        <w:tc>
          <w:tcPr>
            <w:tcW w:type="dxa" w:w="5386"/>
            <w:tcMar>
              <w:top w:w="80" w:type="dxa"/>
              <w:start w:w="90" w:type="dxa"/>
              <w:bottom w:w="80" w:type="dxa"/>
              <w:end w:w="90" w:type="dxa"/>
            </w:tcMar>
            <w:vAlign w:val="center"/>
          </w:tcPr>
          <w:p>
            <w:r>
              <w:rPr>
                <w:sz w:val="16"/>
              </w:rPr>
              <w:t>Principal write-off</w:t>
            </w:r>
          </w:p>
        </w:tc>
        <w:tc>
          <w:tcPr>
            <w:tcW w:type="dxa" w:w="4479"/>
            <w:tcMar>
              <w:top w:w="80" w:type="dxa"/>
              <w:start w:w="90" w:type="dxa"/>
              <w:bottom w:w="80" w:type="dxa"/>
              <w:end w:w="90" w:type="dxa"/>
            </w:tcMar>
            <w:vAlign w:val="center"/>
          </w:tcPr>
          <w:p>
            <w:r>
              <w:rPr>
                <w:sz w:val="16"/>
              </w:rPr>
              <w:t>30%</w:t>
            </w:r>
          </w:p>
        </w:tc>
      </w:tr>
      <w:tr>
        <w:tc>
          <w:tcPr>
            <w:tcW w:type="dxa" w:w="5386"/>
            <w:tcMar>
              <w:top w:w="80" w:type="dxa"/>
              <w:start w:w="90" w:type="dxa"/>
              <w:bottom w:w="80" w:type="dxa"/>
              <w:end w:w="90" w:type="dxa"/>
            </w:tcMar>
            <w:vAlign w:val="center"/>
          </w:tcPr>
          <w:p>
            <w:r>
              <w:rPr>
                <w:sz w:val="16"/>
              </w:rPr>
              <w:t>Retained principal</w:t>
            </w:r>
          </w:p>
        </w:tc>
        <w:tc>
          <w:tcPr>
            <w:tcW w:type="dxa" w:w="4479"/>
            <w:tcMar>
              <w:top w:w="80" w:type="dxa"/>
              <w:start w:w="90" w:type="dxa"/>
              <w:bottom w:w="80" w:type="dxa"/>
              <w:end w:w="90" w:type="dxa"/>
            </w:tcMar>
            <w:vAlign w:val="center"/>
          </w:tcPr>
          <w:p>
            <w:r>
              <w:rPr>
                <w:sz w:val="16"/>
              </w:rPr>
              <w:t>£10.5bn</w:t>
            </w:r>
          </w:p>
        </w:tc>
      </w:tr>
      <w:tr>
        <w:tc>
          <w:tcPr>
            <w:tcW w:type="dxa" w:w="5386"/>
            <w:tcMar>
              <w:top w:w="80" w:type="dxa"/>
              <w:start w:w="90" w:type="dxa"/>
              <w:bottom w:w="80" w:type="dxa"/>
              <w:end w:w="90" w:type="dxa"/>
            </w:tcMar>
            <w:vAlign w:val="center"/>
          </w:tcPr>
          <w:p>
            <w:r>
              <w:rPr>
                <w:sz w:val="16"/>
              </w:rPr>
              <w:t>Coupon</w:t>
            </w:r>
          </w:p>
        </w:tc>
        <w:tc>
          <w:tcPr>
            <w:tcW w:type="dxa" w:w="4479"/>
            <w:tcMar>
              <w:top w:w="80" w:type="dxa"/>
              <w:start w:w="90" w:type="dxa"/>
              <w:bottom w:w="80" w:type="dxa"/>
              <w:end w:w="90" w:type="dxa"/>
            </w:tcMar>
            <w:vAlign w:val="center"/>
          </w:tcPr>
          <w:p>
            <w:r>
              <w:rPr>
                <w:sz w:val="16"/>
              </w:rPr>
              <w:t>6.0%</w:t>
            </w:r>
          </w:p>
        </w:tc>
      </w:tr>
      <w:tr>
        <w:tc>
          <w:tcPr>
            <w:tcW w:type="dxa" w:w="5386"/>
            <w:tcMar>
              <w:top w:w="80" w:type="dxa"/>
              <w:start w:w="90" w:type="dxa"/>
              <w:bottom w:w="80" w:type="dxa"/>
              <w:end w:w="90" w:type="dxa"/>
            </w:tcMar>
            <w:vAlign w:val="center"/>
          </w:tcPr>
          <w:p>
            <w:r>
              <w:rPr>
                <w:sz w:val="16"/>
              </w:rPr>
              <w:t>Maturity</w:t>
            </w:r>
          </w:p>
        </w:tc>
        <w:tc>
          <w:tcPr>
            <w:tcW w:type="dxa" w:w="4479"/>
            <w:tcMar>
              <w:top w:w="80" w:type="dxa"/>
              <w:start w:w="90" w:type="dxa"/>
              <w:bottom w:w="80" w:type="dxa"/>
              <w:end w:w="90" w:type="dxa"/>
            </w:tcMar>
            <w:vAlign w:val="center"/>
          </w:tcPr>
          <w:p>
            <w:r>
              <w:rPr>
                <w:sz w:val="16"/>
              </w:rPr>
              <w:t>10 years</w:t>
            </w:r>
          </w:p>
        </w:tc>
      </w:tr>
      <w:tr>
        <w:tc>
          <w:tcPr>
            <w:tcW w:type="dxa" w:w="5386"/>
            <w:tcMar>
              <w:top w:w="80" w:type="dxa"/>
              <w:start w:w="90" w:type="dxa"/>
              <w:bottom w:w="80" w:type="dxa"/>
              <w:end w:w="90" w:type="dxa"/>
            </w:tcMar>
            <w:vAlign w:val="center"/>
          </w:tcPr>
          <w:p>
            <w:r>
              <w:rPr>
                <w:sz w:val="16"/>
              </w:rPr>
              <w:t>Discount rate</w:t>
            </w:r>
          </w:p>
        </w:tc>
        <w:tc>
          <w:tcPr>
            <w:tcW w:type="dxa" w:w="4479"/>
            <w:tcMar>
              <w:top w:w="80" w:type="dxa"/>
              <w:start w:w="90" w:type="dxa"/>
              <w:bottom w:w="80" w:type="dxa"/>
              <w:end w:w="90" w:type="dxa"/>
            </w:tcMar>
            <w:vAlign w:val="center"/>
          </w:tcPr>
          <w:p>
            <w:r>
              <w:rPr>
                <w:sz w:val="16"/>
              </w:rPr>
              <w:t>8.0%</w:t>
            </w:r>
          </w:p>
        </w:tc>
      </w:tr>
      <w:tr>
        <w:tc>
          <w:tcPr>
            <w:tcW w:type="dxa" w:w="5386"/>
            <w:tcMar>
              <w:top w:w="80" w:type="dxa"/>
              <w:start w:w="90" w:type="dxa"/>
              <w:bottom w:w="80" w:type="dxa"/>
              <w:end w:w="90" w:type="dxa"/>
            </w:tcMar>
            <w:vAlign w:val="center"/>
          </w:tcPr>
          <w:p>
            <w:r>
              <w:rPr>
                <w:sz w:val="16"/>
              </w:rPr>
              <w:t>PV of coupons</w:t>
            </w:r>
          </w:p>
        </w:tc>
        <w:tc>
          <w:tcPr>
            <w:tcW w:type="dxa" w:w="4479"/>
            <w:tcMar>
              <w:top w:w="80" w:type="dxa"/>
              <w:start w:w="90" w:type="dxa"/>
              <w:bottom w:w="80" w:type="dxa"/>
              <w:end w:w="90" w:type="dxa"/>
            </w:tcMar>
            <w:vAlign w:val="center"/>
          </w:tcPr>
          <w:p>
            <w:r>
              <w:rPr>
                <w:sz w:val="16"/>
              </w:rPr>
              <w:t>£4.227bn</w:t>
            </w:r>
          </w:p>
        </w:tc>
      </w:tr>
      <w:tr>
        <w:tc>
          <w:tcPr>
            <w:tcW w:type="dxa" w:w="5386"/>
            <w:tcMar>
              <w:top w:w="80" w:type="dxa"/>
              <w:start w:w="90" w:type="dxa"/>
              <w:bottom w:w="80" w:type="dxa"/>
              <w:end w:w="90" w:type="dxa"/>
            </w:tcMar>
            <w:vAlign w:val="center"/>
          </w:tcPr>
          <w:p>
            <w:r>
              <w:rPr>
                <w:sz w:val="16"/>
              </w:rPr>
              <w:t>PV of principal</w:t>
            </w:r>
          </w:p>
        </w:tc>
        <w:tc>
          <w:tcPr>
            <w:tcW w:type="dxa" w:w="4479"/>
            <w:tcMar>
              <w:top w:w="80" w:type="dxa"/>
              <w:start w:w="90" w:type="dxa"/>
              <w:bottom w:w="80" w:type="dxa"/>
              <w:end w:w="90" w:type="dxa"/>
            </w:tcMar>
            <w:vAlign w:val="center"/>
          </w:tcPr>
          <w:p>
            <w:r>
              <w:rPr>
                <w:sz w:val="16"/>
              </w:rPr>
              <w:t>£4.864bn</w:t>
            </w:r>
          </w:p>
        </w:tc>
      </w:tr>
      <w:tr>
        <w:tc>
          <w:tcPr>
            <w:tcW w:type="dxa" w:w="5386"/>
            <w:tcMar>
              <w:top w:w="80" w:type="dxa"/>
              <w:start w:w="90" w:type="dxa"/>
              <w:bottom w:w="80" w:type="dxa"/>
              <w:end w:w="90" w:type="dxa"/>
            </w:tcMar>
            <w:vAlign w:val="center"/>
          </w:tcPr>
          <w:p>
            <w:r>
              <w:rPr>
                <w:sz w:val="16"/>
              </w:rPr>
              <w:t>Economic value</w:t>
            </w:r>
          </w:p>
        </w:tc>
        <w:tc>
          <w:tcPr>
            <w:tcW w:type="dxa" w:w="4479"/>
            <w:tcMar>
              <w:top w:w="80" w:type="dxa"/>
              <w:start w:w="90" w:type="dxa"/>
              <w:bottom w:w="80" w:type="dxa"/>
              <w:end w:w="90" w:type="dxa"/>
            </w:tcMar>
            <w:vAlign w:val="center"/>
          </w:tcPr>
          <w:p>
            <w:r>
              <w:rPr>
                <w:sz w:val="16"/>
              </w:rPr>
              <w:t>£9.091bn</w:t>
            </w:r>
          </w:p>
        </w:tc>
      </w:tr>
      <w:tr>
        <w:tc>
          <w:tcPr>
            <w:tcW w:type="dxa" w:w="5386"/>
            <w:tcMar>
              <w:top w:w="80" w:type="dxa"/>
              <w:start w:w="90" w:type="dxa"/>
              <w:bottom w:w="80" w:type="dxa"/>
              <w:end w:w="90" w:type="dxa"/>
            </w:tcMar>
            <w:vAlign w:val="center"/>
          </w:tcPr>
          <w:p>
            <w:r>
              <w:rPr>
                <w:sz w:val="16"/>
              </w:rPr>
              <w:t>Economic recovery</w:t>
            </w:r>
          </w:p>
        </w:tc>
        <w:tc>
          <w:tcPr>
            <w:tcW w:type="dxa" w:w="4479"/>
            <w:tcMar>
              <w:top w:w="80" w:type="dxa"/>
              <w:start w:w="90" w:type="dxa"/>
              <w:bottom w:w="80" w:type="dxa"/>
              <w:end w:w="90" w:type="dxa"/>
            </w:tcMar>
            <w:vAlign w:val="center"/>
          </w:tcPr>
          <w:p>
            <w:r>
              <w:rPr>
                <w:sz w:val="16"/>
              </w:rPr>
              <w:t>60.6%</w:t>
            </w:r>
          </w:p>
        </w:tc>
      </w:tr>
    </w:tbl>
    <w:p>
      <w:pPr>
        <w:pStyle w:val="Heading2"/>
      </w:pPr>
      <w:r>
        <w:t>Economic recovery sensitivity</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928"/>
            <w:shd w:fill="EAF2F8"/>
            <w:tcMar>
              <w:top w:w="80" w:type="dxa"/>
              <w:start w:w="90" w:type="dxa"/>
              <w:bottom w:w="80" w:type="dxa"/>
              <w:end w:w="90" w:type="dxa"/>
            </w:tcMar>
          </w:tcPr>
          <w:p>
            <w:r>
              <w:rPr>
                <w:b/>
                <w:color w:val="102A43"/>
                <w:sz w:val="16"/>
              </w:rPr>
              <w:t>Maturity</w:t>
            </w:r>
          </w:p>
        </w:tc>
        <w:tc>
          <w:tcPr>
            <w:tcW w:type="dxa" w:w="1587"/>
            <w:shd w:fill="EAF2F8"/>
            <w:tcMar>
              <w:top w:w="80" w:type="dxa"/>
              <w:start w:w="90" w:type="dxa"/>
              <w:bottom w:w="80" w:type="dxa"/>
              <w:end w:w="90" w:type="dxa"/>
            </w:tcMar>
          </w:tcPr>
          <w:p>
            <w:r>
              <w:rPr>
                <w:b/>
                <w:color w:val="102A43"/>
                <w:sz w:val="16"/>
              </w:rPr>
              <w:t>5%</w:t>
            </w:r>
          </w:p>
        </w:tc>
        <w:tc>
          <w:tcPr>
            <w:tcW w:type="dxa" w:w="1587"/>
            <w:shd w:fill="EAF2F8"/>
            <w:tcMar>
              <w:top w:w="80" w:type="dxa"/>
              <w:start w:w="90" w:type="dxa"/>
              <w:bottom w:w="80" w:type="dxa"/>
              <w:end w:w="90" w:type="dxa"/>
            </w:tcMar>
          </w:tcPr>
          <w:p>
            <w:r>
              <w:rPr>
                <w:b/>
                <w:color w:val="102A43"/>
                <w:sz w:val="16"/>
              </w:rPr>
              <w:t>6%</w:t>
            </w:r>
          </w:p>
        </w:tc>
        <w:tc>
          <w:tcPr>
            <w:tcW w:type="dxa" w:w="1587"/>
            <w:shd w:fill="EAF2F8"/>
            <w:tcMar>
              <w:top w:w="80" w:type="dxa"/>
              <w:start w:w="90" w:type="dxa"/>
              <w:bottom w:w="80" w:type="dxa"/>
              <w:end w:w="90" w:type="dxa"/>
            </w:tcMar>
          </w:tcPr>
          <w:p>
            <w:r>
              <w:rPr>
                <w:b/>
                <w:color w:val="102A43"/>
                <w:sz w:val="16"/>
              </w:rPr>
              <w:t>7%</w:t>
            </w:r>
          </w:p>
        </w:tc>
        <w:tc>
          <w:tcPr>
            <w:tcW w:type="dxa" w:w="1587"/>
            <w:shd w:fill="EAF2F8"/>
            <w:tcMar>
              <w:top w:w="80" w:type="dxa"/>
              <w:start w:w="90" w:type="dxa"/>
              <w:bottom w:w="80" w:type="dxa"/>
              <w:end w:w="90" w:type="dxa"/>
            </w:tcMar>
          </w:tcPr>
          <w:p>
            <w:r>
              <w:rPr>
                <w:b/>
                <w:color w:val="102A43"/>
                <w:sz w:val="16"/>
              </w:rPr>
              <w:t>8%</w:t>
            </w:r>
          </w:p>
        </w:tc>
        <w:tc>
          <w:tcPr>
            <w:tcW w:type="dxa" w:w="1587"/>
            <w:shd w:fill="EAF2F8"/>
            <w:tcMar>
              <w:top w:w="80" w:type="dxa"/>
              <w:start w:w="90" w:type="dxa"/>
              <w:bottom w:w="80" w:type="dxa"/>
              <w:end w:w="90" w:type="dxa"/>
            </w:tcMar>
          </w:tcPr>
          <w:p>
            <w:r>
              <w:rPr>
                <w:b/>
                <w:color w:val="102A43"/>
                <w:sz w:val="16"/>
              </w:rPr>
              <w:t>9%</w:t>
            </w:r>
          </w:p>
        </w:tc>
      </w:tr>
      <w:tr>
        <w:tc>
          <w:tcPr>
            <w:tcW w:type="dxa" w:w="1928"/>
            <w:tcMar>
              <w:top w:w="80" w:type="dxa"/>
              <w:start w:w="90" w:type="dxa"/>
              <w:bottom w:w="80" w:type="dxa"/>
              <w:end w:w="90" w:type="dxa"/>
            </w:tcMar>
            <w:vAlign w:val="center"/>
          </w:tcPr>
          <w:p>
            <w:r>
              <w:rPr>
                <w:sz w:val="16"/>
              </w:rPr>
              <w:t>5 years</w:t>
            </w:r>
          </w:p>
        </w:tc>
        <w:tc>
          <w:tcPr>
            <w:tcW w:type="dxa" w:w="1587"/>
            <w:tcMar>
              <w:top w:w="80" w:type="dxa"/>
              <w:start w:w="90" w:type="dxa"/>
              <w:bottom w:w="80" w:type="dxa"/>
              <w:end w:w="90" w:type="dxa"/>
            </w:tcMar>
            <w:vAlign w:val="center"/>
          </w:tcPr>
          <w:p>
            <w:r>
              <w:rPr>
                <w:sz w:val="16"/>
              </w:rPr>
              <w:t>73.0%</w:t>
            </w:r>
          </w:p>
        </w:tc>
        <w:tc>
          <w:tcPr>
            <w:tcW w:type="dxa" w:w="1587"/>
            <w:tcMar>
              <w:top w:w="80" w:type="dxa"/>
              <w:start w:w="90" w:type="dxa"/>
              <w:bottom w:w="80" w:type="dxa"/>
              <w:end w:w="90" w:type="dxa"/>
            </w:tcMar>
            <w:vAlign w:val="center"/>
          </w:tcPr>
          <w:p>
            <w:r>
              <w:rPr>
                <w:sz w:val="16"/>
              </w:rPr>
              <w:t>70.0%</w:t>
            </w:r>
          </w:p>
        </w:tc>
        <w:tc>
          <w:tcPr>
            <w:tcW w:type="dxa" w:w="1587"/>
            <w:tcMar>
              <w:top w:w="80" w:type="dxa"/>
              <w:start w:w="90" w:type="dxa"/>
              <w:bottom w:w="80" w:type="dxa"/>
              <w:end w:w="90" w:type="dxa"/>
            </w:tcMar>
            <w:vAlign w:val="center"/>
          </w:tcPr>
          <w:p>
            <w:r>
              <w:rPr>
                <w:sz w:val="16"/>
              </w:rPr>
              <w:t>67.1%</w:t>
            </w:r>
          </w:p>
        </w:tc>
        <w:tc>
          <w:tcPr>
            <w:tcW w:type="dxa" w:w="1587"/>
            <w:tcMar>
              <w:top w:w="80" w:type="dxa"/>
              <w:start w:w="90" w:type="dxa"/>
              <w:bottom w:w="80" w:type="dxa"/>
              <w:end w:w="90" w:type="dxa"/>
            </w:tcMar>
            <w:vAlign w:val="center"/>
          </w:tcPr>
          <w:p>
            <w:r>
              <w:rPr>
                <w:sz w:val="16"/>
              </w:rPr>
              <w:t>64.4%</w:t>
            </w:r>
          </w:p>
        </w:tc>
        <w:tc>
          <w:tcPr>
            <w:tcW w:type="dxa" w:w="1587"/>
            <w:tcMar>
              <w:top w:w="80" w:type="dxa"/>
              <w:start w:w="90" w:type="dxa"/>
              <w:bottom w:w="80" w:type="dxa"/>
              <w:end w:w="90" w:type="dxa"/>
            </w:tcMar>
            <w:vAlign w:val="center"/>
          </w:tcPr>
          <w:p>
            <w:r>
              <w:rPr>
                <w:sz w:val="16"/>
              </w:rPr>
              <w:t>61.8%</w:t>
            </w:r>
          </w:p>
        </w:tc>
      </w:tr>
      <w:tr>
        <w:tc>
          <w:tcPr>
            <w:tcW w:type="dxa" w:w="1928"/>
            <w:tcMar>
              <w:top w:w="80" w:type="dxa"/>
              <w:start w:w="90" w:type="dxa"/>
              <w:bottom w:w="80" w:type="dxa"/>
              <w:end w:w="90" w:type="dxa"/>
            </w:tcMar>
            <w:vAlign w:val="center"/>
          </w:tcPr>
          <w:p>
            <w:r>
              <w:rPr>
                <w:sz w:val="16"/>
              </w:rPr>
              <w:t>7 years</w:t>
            </w:r>
          </w:p>
        </w:tc>
        <w:tc>
          <w:tcPr>
            <w:tcW w:type="dxa" w:w="1587"/>
            <w:tcMar>
              <w:top w:w="80" w:type="dxa"/>
              <w:start w:w="90" w:type="dxa"/>
              <w:bottom w:w="80" w:type="dxa"/>
              <w:end w:w="90" w:type="dxa"/>
            </w:tcMar>
            <w:vAlign w:val="center"/>
          </w:tcPr>
          <w:p>
            <w:r>
              <w:rPr>
                <w:sz w:val="16"/>
              </w:rPr>
              <w:t>74.1%</w:t>
            </w:r>
          </w:p>
        </w:tc>
        <w:tc>
          <w:tcPr>
            <w:tcW w:type="dxa" w:w="1587"/>
            <w:tcMar>
              <w:top w:w="80" w:type="dxa"/>
              <w:start w:w="90" w:type="dxa"/>
              <w:bottom w:w="80" w:type="dxa"/>
              <w:end w:w="90" w:type="dxa"/>
            </w:tcMar>
            <w:vAlign w:val="center"/>
          </w:tcPr>
          <w:p>
            <w:r>
              <w:rPr>
                <w:sz w:val="16"/>
              </w:rPr>
              <w:t>70.0%</w:t>
            </w:r>
          </w:p>
        </w:tc>
        <w:tc>
          <w:tcPr>
            <w:tcW w:type="dxa" w:w="1587"/>
            <w:tcMar>
              <w:top w:w="80" w:type="dxa"/>
              <w:start w:w="90" w:type="dxa"/>
              <w:bottom w:w="80" w:type="dxa"/>
              <w:end w:w="90" w:type="dxa"/>
            </w:tcMar>
            <w:vAlign w:val="center"/>
          </w:tcPr>
          <w:p>
            <w:r>
              <w:rPr>
                <w:sz w:val="16"/>
              </w:rPr>
              <w:t>66.2%</w:t>
            </w:r>
          </w:p>
        </w:tc>
        <w:tc>
          <w:tcPr>
            <w:tcW w:type="dxa" w:w="1587"/>
            <w:tcMar>
              <w:top w:w="80" w:type="dxa"/>
              <w:start w:w="90" w:type="dxa"/>
              <w:bottom w:w="80" w:type="dxa"/>
              <w:end w:w="90" w:type="dxa"/>
            </w:tcMar>
            <w:vAlign w:val="center"/>
          </w:tcPr>
          <w:p>
            <w:r>
              <w:rPr>
                <w:sz w:val="16"/>
              </w:rPr>
              <w:t>62.7%</w:t>
            </w:r>
          </w:p>
        </w:tc>
        <w:tc>
          <w:tcPr>
            <w:tcW w:type="dxa" w:w="1587"/>
            <w:tcMar>
              <w:top w:w="80" w:type="dxa"/>
              <w:start w:w="90" w:type="dxa"/>
              <w:bottom w:w="80" w:type="dxa"/>
              <w:end w:w="90" w:type="dxa"/>
            </w:tcMar>
            <w:vAlign w:val="center"/>
          </w:tcPr>
          <w:p>
            <w:r>
              <w:rPr>
                <w:sz w:val="16"/>
              </w:rPr>
              <w:t>59.4%</w:t>
            </w:r>
          </w:p>
        </w:tc>
      </w:tr>
      <w:tr>
        <w:tc>
          <w:tcPr>
            <w:tcW w:type="dxa" w:w="1928"/>
            <w:tcMar>
              <w:top w:w="80" w:type="dxa"/>
              <w:start w:w="90" w:type="dxa"/>
              <w:bottom w:w="80" w:type="dxa"/>
              <w:end w:w="90" w:type="dxa"/>
            </w:tcMar>
            <w:vAlign w:val="center"/>
          </w:tcPr>
          <w:p>
            <w:r>
              <w:rPr>
                <w:sz w:val="16"/>
              </w:rPr>
              <w:t>10 years</w:t>
            </w:r>
          </w:p>
        </w:tc>
        <w:tc>
          <w:tcPr>
            <w:tcW w:type="dxa" w:w="1587"/>
            <w:tcMar>
              <w:top w:w="80" w:type="dxa"/>
              <w:start w:w="90" w:type="dxa"/>
              <w:bottom w:w="80" w:type="dxa"/>
              <w:end w:w="90" w:type="dxa"/>
            </w:tcMar>
            <w:vAlign w:val="center"/>
          </w:tcPr>
          <w:p>
            <w:r>
              <w:rPr>
                <w:sz w:val="16"/>
              </w:rPr>
              <w:t>75.4%</w:t>
            </w:r>
          </w:p>
        </w:tc>
        <w:tc>
          <w:tcPr>
            <w:tcW w:type="dxa" w:w="1587"/>
            <w:tcMar>
              <w:top w:w="80" w:type="dxa"/>
              <w:start w:w="90" w:type="dxa"/>
              <w:bottom w:w="80" w:type="dxa"/>
              <w:end w:w="90" w:type="dxa"/>
            </w:tcMar>
            <w:vAlign w:val="center"/>
          </w:tcPr>
          <w:p>
            <w:r>
              <w:rPr>
                <w:sz w:val="16"/>
              </w:rPr>
              <w:t>70.0%</w:t>
            </w:r>
          </w:p>
        </w:tc>
        <w:tc>
          <w:tcPr>
            <w:tcW w:type="dxa" w:w="1587"/>
            <w:tcMar>
              <w:top w:w="80" w:type="dxa"/>
              <w:start w:w="90" w:type="dxa"/>
              <w:bottom w:w="80" w:type="dxa"/>
              <w:end w:w="90" w:type="dxa"/>
            </w:tcMar>
            <w:vAlign w:val="center"/>
          </w:tcPr>
          <w:p>
            <w:r>
              <w:rPr>
                <w:sz w:val="16"/>
              </w:rPr>
              <w:t>65.1%</w:t>
            </w:r>
          </w:p>
        </w:tc>
        <w:tc>
          <w:tcPr>
            <w:tcW w:type="dxa" w:w="1587"/>
            <w:tcMar>
              <w:top w:w="80" w:type="dxa"/>
              <w:start w:w="90" w:type="dxa"/>
              <w:bottom w:w="80" w:type="dxa"/>
              <w:end w:w="90" w:type="dxa"/>
            </w:tcMar>
            <w:vAlign w:val="center"/>
          </w:tcPr>
          <w:p>
            <w:r>
              <w:rPr>
                <w:sz w:val="16"/>
              </w:rPr>
              <w:t>60.6%</w:t>
            </w:r>
          </w:p>
        </w:tc>
        <w:tc>
          <w:tcPr>
            <w:tcW w:type="dxa" w:w="1587"/>
            <w:tcMar>
              <w:top w:w="80" w:type="dxa"/>
              <w:start w:w="90" w:type="dxa"/>
              <w:bottom w:w="80" w:type="dxa"/>
              <w:end w:w="90" w:type="dxa"/>
            </w:tcMar>
            <w:vAlign w:val="center"/>
          </w:tcPr>
          <w:p>
            <w:r>
              <w:rPr>
                <w:sz w:val="16"/>
              </w:rPr>
              <w:t>56.5%</w:t>
            </w:r>
          </w:p>
        </w:tc>
      </w:tr>
      <w:tr>
        <w:tc>
          <w:tcPr>
            <w:tcW w:type="dxa" w:w="1928"/>
            <w:tcMar>
              <w:top w:w="80" w:type="dxa"/>
              <w:start w:w="90" w:type="dxa"/>
              <w:bottom w:w="80" w:type="dxa"/>
              <w:end w:w="90" w:type="dxa"/>
            </w:tcMar>
            <w:vAlign w:val="center"/>
          </w:tcPr>
          <w:p>
            <w:r>
              <w:rPr>
                <w:sz w:val="16"/>
              </w:rPr>
              <w:t>12 years</w:t>
            </w:r>
          </w:p>
        </w:tc>
        <w:tc>
          <w:tcPr>
            <w:tcW w:type="dxa" w:w="1587"/>
            <w:tcMar>
              <w:top w:w="80" w:type="dxa"/>
              <w:start w:w="90" w:type="dxa"/>
              <w:bottom w:w="80" w:type="dxa"/>
              <w:end w:w="90" w:type="dxa"/>
            </w:tcMar>
            <w:vAlign w:val="center"/>
          </w:tcPr>
          <w:p>
            <w:r>
              <w:rPr>
                <w:sz w:val="16"/>
              </w:rPr>
              <w:t>76.2%</w:t>
            </w:r>
          </w:p>
        </w:tc>
        <w:tc>
          <w:tcPr>
            <w:tcW w:type="dxa" w:w="1587"/>
            <w:tcMar>
              <w:top w:w="80" w:type="dxa"/>
              <w:start w:w="90" w:type="dxa"/>
              <w:bottom w:w="80" w:type="dxa"/>
              <w:end w:w="90" w:type="dxa"/>
            </w:tcMar>
            <w:vAlign w:val="center"/>
          </w:tcPr>
          <w:p>
            <w:r>
              <w:rPr>
                <w:sz w:val="16"/>
              </w:rPr>
              <w:t>70.0%</w:t>
            </w:r>
          </w:p>
        </w:tc>
        <w:tc>
          <w:tcPr>
            <w:tcW w:type="dxa" w:w="1587"/>
            <w:tcMar>
              <w:top w:w="80" w:type="dxa"/>
              <w:start w:w="90" w:type="dxa"/>
              <w:bottom w:w="80" w:type="dxa"/>
              <w:end w:w="90" w:type="dxa"/>
            </w:tcMar>
            <w:vAlign w:val="center"/>
          </w:tcPr>
          <w:p>
            <w:r>
              <w:rPr>
                <w:sz w:val="16"/>
              </w:rPr>
              <w:t>64.4%</w:t>
            </w:r>
          </w:p>
        </w:tc>
        <w:tc>
          <w:tcPr>
            <w:tcW w:type="dxa" w:w="1587"/>
            <w:tcMar>
              <w:top w:w="80" w:type="dxa"/>
              <w:start w:w="90" w:type="dxa"/>
              <w:bottom w:w="80" w:type="dxa"/>
              <w:end w:w="90" w:type="dxa"/>
            </w:tcMar>
            <w:vAlign w:val="center"/>
          </w:tcPr>
          <w:p>
            <w:r>
              <w:rPr>
                <w:sz w:val="16"/>
              </w:rPr>
              <w:t>59.4%</w:t>
            </w:r>
          </w:p>
        </w:tc>
        <w:tc>
          <w:tcPr>
            <w:tcW w:type="dxa" w:w="1587"/>
            <w:tcMar>
              <w:top w:w="80" w:type="dxa"/>
              <w:start w:w="90" w:type="dxa"/>
              <w:bottom w:w="80" w:type="dxa"/>
              <w:end w:w="90" w:type="dxa"/>
            </w:tcMar>
            <w:vAlign w:val="center"/>
          </w:tcPr>
          <w:p>
            <w:r>
              <w:rPr>
                <w:sz w:val="16"/>
              </w:rPr>
              <w:t>55.0%</w:t>
            </w:r>
          </w:p>
        </w:tc>
      </w:tr>
      <w:tr>
        <w:tc>
          <w:tcPr>
            <w:tcW w:type="dxa" w:w="1928"/>
            <w:tcMar>
              <w:top w:w="80" w:type="dxa"/>
              <w:start w:w="90" w:type="dxa"/>
              <w:bottom w:w="80" w:type="dxa"/>
              <w:end w:w="90" w:type="dxa"/>
            </w:tcMar>
            <w:vAlign w:val="center"/>
          </w:tcPr>
          <w:p>
            <w:r>
              <w:rPr>
                <w:sz w:val="16"/>
              </w:rPr>
              <w:t>15 years</w:t>
            </w:r>
          </w:p>
        </w:tc>
        <w:tc>
          <w:tcPr>
            <w:tcW w:type="dxa" w:w="1587"/>
            <w:tcMar>
              <w:top w:w="80" w:type="dxa"/>
              <w:start w:w="90" w:type="dxa"/>
              <w:bottom w:w="80" w:type="dxa"/>
              <w:end w:w="90" w:type="dxa"/>
            </w:tcMar>
            <w:vAlign w:val="center"/>
          </w:tcPr>
          <w:p>
            <w:r>
              <w:rPr>
                <w:sz w:val="16"/>
              </w:rPr>
              <w:t>77.3%</w:t>
            </w:r>
          </w:p>
        </w:tc>
        <w:tc>
          <w:tcPr>
            <w:tcW w:type="dxa" w:w="1587"/>
            <w:tcMar>
              <w:top w:w="80" w:type="dxa"/>
              <w:start w:w="90" w:type="dxa"/>
              <w:bottom w:w="80" w:type="dxa"/>
              <w:end w:w="90" w:type="dxa"/>
            </w:tcMar>
            <w:vAlign w:val="center"/>
          </w:tcPr>
          <w:p>
            <w:r>
              <w:rPr>
                <w:sz w:val="16"/>
              </w:rPr>
              <w:t>70.0%</w:t>
            </w:r>
          </w:p>
        </w:tc>
        <w:tc>
          <w:tcPr>
            <w:tcW w:type="dxa" w:w="1587"/>
            <w:tcMar>
              <w:top w:w="80" w:type="dxa"/>
              <w:start w:w="90" w:type="dxa"/>
              <w:bottom w:w="80" w:type="dxa"/>
              <w:end w:w="90" w:type="dxa"/>
            </w:tcMar>
            <w:vAlign w:val="center"/>
          </w:tcPr>
          <w:p>
            <w:r>
              <w:rPr>
                <w:sz w:val="16"/>
              </w:rPr>
              <w:t>63.6%</w:t>
            </w:r>
          </w:p>
        </w:tc>
        <w:tc>
          <w:tcPr>
            <w:tcW w:type="dxa" w:w="1587"/>
            <w:tcMar>
              <w:top w:w="80" w:type="dxa"/>
              <w:start w:w="90" w:type="dxa"/>
              <w:bottom w:w="80" w:type="dxa"/>
              <w:end w:w="90" w:type="dxa"/>
            </w:tcMar>
            <w:vAlign w:val="center"/>
          </w:tcPr>
          <w:p>
            <w:r>
              <w:rPr>
                <w:sz w:val="16"/>
              </w:rPr>
              <w:t>58.0%</w:t>
            </w:r>
          </w:p>
        </w:tc>
        <w:tc>
          <w:tcPr>
            <w:tcW w:type="dxa" w:w="1587"/>
            <w:tcMar>
              <w:top w:w="80" w:type="dxa"/>
              <w:start w:w="90" w:type="dxa"/>
              <w:bottom w:w="80" w:type="dxa"/>
              <w:end w:w="90" w:type="dxa"/>
            </w:tcMar>
            <w:vAlign w:val="center"/>
          </w:tcPr>
          <w:p>
            <w:r>
              <w:rPr>
                <w:sz w:val="16"/>
              </w:rPr>
              <w:t>53.1%</w:t>
            </w:r>
          </w:p>
        </w:tc>
      </w:tr>
    </w:tbl>
    <w:p>
      <w:pPr>
        <w:pStyle w:val="Heading2"/>
      </w:pPr>
      <w:r>
        <w:t>Audit note</w:t>
      </w:r>
    </w:p>
    <w:p>
      <w:r>
        <w:t>The present-value calculation independently reproduces an economic value of £9.09bn, or 60.6% of the original £15bn illustrative claim. The £15bn claim size, 6% coupon, 10-year maturity and 8% discount rate are modelling assumptions, not disclosed L&amp;VW proposal terms.</w:t>
      </w:r>
    </w:p>
    <w:p>
      <w:pPr>
        <w:pStyle w:val="Heading2"/>
      </w:pPr>
      <w:r>
        <w:t>Creditor-priority framing</w:t>
      </w:r>
    </w:p>
    <w:p>
      <w:r>
        <w:t>The statement that junior claims should not retain value while senior claims remain impaired is best treated as an analytical restructuring-priority framing, subject to the actual restructuring plan, valuation evidence, creditor classes and court process. It should not be presented as a disclosed term of the L&amp;VW proposal.</w:t>
      </w:r>
    </w:p>
    <w:p>
      <w:r>
        <w:br w:type="page"/>
      </w:r>
    </w:p>
    <w:p>
      <w:pPr>
        <w:pStyle w:val="Heading1"/>
      </w:pPr>
      <w:r>
        <w:t>4. Audit summary, limitations and sources</w:t>
      </w:r>
    </w:p>
    <w:tbl>
      <w:tblPr>
        <w:tblStyle w:val="TableGrid"/>
        <w:tblW w:type="auto" w:w="0"/>
        <w:jc w:val="center"/>
        <w:tblLook w:firstColumn="1" w:firstRow="1" w:lastColumn="0" w:lastRow="0" w:noHBand="0" w:noVBand="1" w:val="04A0"/>
      </w:tblPr>
      <w:tblGrid>
        <w:gridCol w:w="3400"/>
        <w:gridCol w:w="3400"/>
        <w:gridCol w:w="3400"/>
      </w:tblGrid>
      <w:tr>
        <w:tc>
          <w:tcPr>
            <w:tcW w:type="dxa" w:w="2721"/>
            <w:shd w:fill="EAF2F8"/>
            <w:tcMar>
              <w:top w:w="80" w:type="dxa"/>
              <w:start w:w="90" w:type="dxa"/>
              <w:bottom w:w="80" w:type="dxa"/>
              <w:end w:w="90" w:type="dxa"/>
            </w:tcMar>
          </w:tcPr>
          <w:p>
            <w:r>
              <w:rPr>
                <w:b/>
                <w:color w:val="102A43"/>
                <w:sz w:val="16"/>
              </w:rPr>
              <w:t>Area</w:t>
            </w:r>
          </w:p>
        </w:tc>
        <w:tc>
          <w:tcPr>
            <w:tcW w:type="dxa" w:w="1701"/>
            <w:shd w:fill="EAF2F8"/>
            <w:tcMar>
              <w:top w:w="80" w:type="dxa"/>
              <w:start w:w="90" w:type="dxa"/>
              <w:bottom w:w="80" w:type="dxa"/>
              <w:end w:w="90" w:type="dxa"/>
            </w:tcMar>
          </w:tcPr>
          <w:p>
            <w:r>
              <w:rPr>
                <w:b/>
                <w:color w:val="102A43"/>
                <w:sz w:val="16"/>
              </w:rPr>
              <w:t>Result</w:t>
            </w:r>
          </w:p>
        </w:tc>
        <w:tc>
          <w:tcPr>
            <w:tcW w:type="dxa" w:w="5443"/>
            <w:shd w:fill="EAF2F8"/>
            <w:tcMar>
              <w:top w:w="80" w:type="dxa"/>
              <w:start w:w="90" w:type="dxa"/>
              <w:bottom w:w="80" w:type="dxa"/>
              <w:end w:w="90" w:type="dxa"/>
            </w:tcMar>
          </w:tcPr>
          <w:p>
            <w:r>
              <w:rPr>
                <w:b/>
                <w:color w:val="102A43"/>
                <w:sz w:val="16"/>
              </w:rPr>
              <w:t>Comment</w:t>
            </w:r>
          </w:p>
        </w:tc>
      </w:tr>
      <w:tr>
        <w:tc>
          <w:tcPr>
            <w:tcW w:type="dxa" w:w="2721"/>
            <w:tcMar>
              <w:top w:w="80" w:type="dxa"/>
              <w:start w:w="90" w:type="dxa"/>
              <w:bottom w:w="80" w:type="dxa"/>
              <w:end w:w="90" w:type="dxa"/>
            </w:tcMar>
            <w:vAlign w:val="center"/>
          </w:tcPr>
          <w:p>
            <w:r>
              <w:rPr>
                <w:sz w:val="16"/>
              </w:rPr>
              <w:t>Proposal mechanics</w:t>
            </w:r>
          </w:p>
        </w:tc>
        <w:tc>
          <w:tcPr>
            <w:tcW w:type="dxa" w:w="1701"/>
            <w:tcMar>
              <w:top w:w="80" w:type="dxa"/>
              <w:start w:w="90" w:type="dxa"/>
              <w:bottom w:w="80" w:type="dxa"/>
              <w:end w:w="90" w:type="dxa"/>
            </w:tcMar>
            <w:vAlign w:val="center"/>
          </w:tcPr>
          <w:p>
            <w:r>
              <w:rPr>
                <w:sz w:val="16"/>
              </w:rPr>
              <w:t>PASS</w:t>
            </w:r>
          </w:p>
        </w:tc>
        <w:tc>
          <w:tcPr>
            <w:tcW w:type="dxa" w:w="5443"/>
            <w:tcMar>
              <w:top w:w="80" w:type="dxa"/>
              <w:start w:w="90" w:type="dxa"/>
              <w:bottom w:w="80" w:type="dxa"/>
              <w:end w:w="90" w:type="dxa"/>
            </w:tcMar>
            <w:vAlign w:val="center"/>
          </w:tcPr>
          <w:p>
            <w:r>
              <w:rPr>
                <w:sz w:val="16"/>
              </w:rPr>
              <w:t>Key March 2026 terms match Thames Water's announcement.</w:t>
            </w:r>
          </w:p>
        </w:tc>
      </w:tr>
      <w:tr>
        <w:tc>
          <w:tcPr>
            <w:tcW w:type="dxa" w:w="2721"/>
            <w:tcMar>
              <w:top w:w="80" w:type="dxa"/>
              <w:start w:w="90" w:type="dxa"/>
              <w:bottom w:w="80" w:type="dxa"/>
              <w:end w:w="90" w:type="dxa"/>
            </w:tcMar>
            <w:vAlign w:val="center"/>
          </w:tcPr>
          <w:p>
            <w:r>
              <w:rPr>
                <w:sz w:val="16"/>
              </w:rPr>
              <w:t>30 Sep 2025 snapshot</w:t>
            </w:r>
          </w:p>
        </w:tc>
        <w:tc>
          <w:tcPr>
            <w:tcW w:type="dxa" w:w="1701"/>
            <w:tcMar>
              <w:top w:w="80" w:type="dxa"/>
              <w:start w:w="90" w:type="dxa"/>
              <w:bottom w:w="80" w:type="dxa"/>
              <w:end w:w="90" w:type="dxa"/>
            </w:tcMar>
            <w:vAlign w:val="center"/>
          </w:tcPr>
          <w:p>
            <w:r>
              <w:rPr>
                <w:sz w:val="16"/>
              </w:rPr>
              <w:t>PASS</w:t>
            </w:r>
          </w:p>
        </w:tc>
        <w:tc>
          <w:tcPr>
            <w:tcW w:type="dxa" w:w="5443"/>
            <w:tcMar>
              <w:top w:w="80" w:type="dxa"/>
              <w:start w:w="90" w:type="dxa"/>
              <w:bottom w:w="80" w:type="dxa"/>
              <w:end w:w="90" w:type="dxa"/>
            </w:tcMar>
            <w:vAlign w:val="center"/>
          </w:tcPr>
          <w:p>
            <w:r>
              <w:rPr>
                <w:sz w:val="16"/>
              </w:rPr>
              <w:t>Workbook/report figures are internally aligned.</w:t>
            </w:r>
          </w:p>
        </w:tc>
      </w:tr>
      <w:tr>
        <w:tc>
          <w:tcPr>
            <w:tcW w:type="dxa" w:w="2721"/>
            <w:tcMar>
              <w:top w:w="80" w:type="dxa"/>
              <w:start w:w="90" w:type="dxa"/>
              <w:bottom w:w="80" w:type="dxa"/>
              <w:end w:w="90" w:type="dxa"/>
            </w:tcMar>
            <w:vAlign w:val="center"/>
          </w:tcPr>
          <w:p>
            <w:r>
              <w:rPr>
                <w:sz w:val="16"/>
              </w:rPr>
              <w:t>RCV scenario arithmetic</w:t>
            </w:r>
          </w:p>
        </w:tc>
        <w:tc>
          <w:tcPr>
            <w:tcW w:type="dxa" w:w="1701"/>
            <w:tcMar>
              <w:top w:w="80" w:type="dxa"/>
              <w:start w:w="90" w:type="dxa"/>
              <w:bottom w:w="80" w:type="dxa"/>
              <w:end w:w="90" w:type="dxa"/>
            </w:tcMar>
            <w:vAlign w:val="center"/>
          </w:tcPr>
          <w:p>
            <w:r>
              <w:rPr>
                <w:sz w:val="16"/>
              </w:rPr>
              <w:t>PASS</w:t>
            </w:r>
          </w:p>
        </w:tc>
        <w:tc>
          <w:tcPr>
            <w:tcW w:type="dxa" w:w="5443"/>
            <w:tcMar>
              <w:top w:w="80" w:type="dxa"/>
              <w:start w:w="90" w:type="dxa"/>
              <w:bottom w:w="80" w:type="dxa"/>
              <w:end w:w="90" w:type="dxa"/>
            </w:tcMar>
            <w:vAlign w:val="center"/>
          </w:tcPr>
          <w:p>
            <w:r>
              <w:rPr>
                <w:sz w:val="16"/>
              </w:rPr>
              <w:t>FY30 £15.967bn debt-capacity result reperformed.</w:t>
            </w:r>
          </w:p>
        </w:tc>
      </w:tr>
      <w:tr>
        <w:tc>
          <w:tcPr>
            <w:tcW w:type="dxa" w:w="2721"/>
            <w:tcMar>
              <w:top w:w="80" w:type="dxa"/>
              <w:start w:w="90" w:type="dxa"/>
              <w:bottom w:w="80" w:type="dxa"/>
              <w:end w:w="90" w:type="dxa"/>
            </w:tcMar>
            <w:vAlign w:val="center"/>
          </w:tcPr>
          <w:p>
            <w:r>
              <w:rPr>
                <w:sz w:val="16"/>
              </w:rPr>
              <w:t>Recovery PV arithmetic</w:t>
            </w:r>
          </w:p>
        </w:tc>
        <w:tc>
          <w:tcPr>
            <w:tcW w:type="dxa" w:w="1701"/>
            <w:tcMar>
              <w:top w:w="80" w:type="dxa"/>
              <w:start w:w="90" w:type="dxa"/>
              <w:bottom w:w="80" w:type="dxa"/>
              <w:end w:w="90" w:type="dxa"/>
            </w:tcMar>
            <w:vAlign w:val="center"/>
          </w:tcPr>
          <w:p>
            <w:r>
              <w:rPr>
                <w:sz w:val="16"/>
              </w:rPr>
              <w:t>PASS</w:t>
            </w:r>
          </w:p>
        </w:tc>
        <w:tc>
          <w:tcPr>
            <w:tcW w:type="dxa" w:w="5443"/>
            <w:tcMar>
              <w:top w:w="80" w:type="dxa"/>
              <w:start w:w="90" w:type="dxa"/>
              <w:bottom w:w="80" w:type="dxa"/>
              <w:end w:w="90" w:type="dxa"/>
            </w:tcMar>
            <w:vAlign w:val="center"/>
          </w:tcPr>
          <w:p>
            <w:r>
              <w:rPr>
                <w:sz w:val="16"/>
              </w:rPr>
              <w:t>£9.09bn / 60.6% result reperformed.</w:t>
            </w:r>
          </w:p>
        </w:tc>
      </w:tr>
      <w:tr>
        <w:tc>
          <w:tcPr>
            <w:tcW w:type="dxa" w:w="2721"/>
            <w:tcMar>
              <w:top w:w="80" w:type="dxa"/>
              <w:start w:w="90" w:type="dxa"/>
              <w:bottom w:w="80" w:type="dxa"/>
              <w:end w:w="90" w:type="dxa"/>
            </w:tcMar>
            <w:vAlign w:val="center"/>
          </w:tcPr>
          <w:p>
            <w:r>
              <w:rPr>
                <w:sz w:val="16"/>
              </w:rPr>
              <w:t>Fact vs assumption labelling</w:t>
            </w:r>
          </w:p>
        </w:tc>
        <w:tc>
          <w:tcPr>
            <w:tcW w:type="dxa" w:w="1701"/>
            <w:tcMar>
              <w:top w:w="80" w:type="dxa"/>
              <w:start w:w="90" w:type="dxa"/>
              <w:bottom w:w="80" w:type="dxa"/>
              <w:end w:w="90" w:type="dxa"/>
            </w:tcMar>
            <w:vAlign w:val="center"/>
          </w:tcPr>
          <w:p>
            <w:r>
              <w:rPr>
                <w:sz w:val="16"/>
              </w:rPr>
              <w:t>IMPROVED</w:t>
            </w:r>
          </w:p>
        </w:tc>
        <w:tc>
          <w:tcPr>
            <w:tcW w:type="dxa" w:w="5443"/>
            <w:tcMar>
              <w:top w:w="80" w:type="dxa"/>
              <w:start w:w="90" w:type="dxa"/>
              <w:bottom w:w="80" w:type="dxa"/>
              <w:end w:w="90" w:type="dxa"/>
            </w:tcMar>
            <w:vAlign w:val="center"/>
          </w:tcPr>
          <w:p>
            <w:r>
              <w:rPr>
                <w:sz w:val="16"/>
              </w:rPr>
              <w:t>This edition makes model assumptions explicit.</w:t>
            </w:r>
          </w:p>
        </w:tc>
      </w:tr>
      <w:tr>
        <w:tc>
          <w:tcPr>
            <w:tcW w:type="dxa" w:w="2721"/>
            <w:tcMar>
              <w:top w:w="80" w:type="dxa"/>
              <w:start w:w="90" w:type="dxa"/>
              <w:bottom w:w="80" w:type="dxa"/>
              <w:end w:w="90" w:type="dxa"/>
            </w:tcMar>
            <w:vAlign w:val="center"/>
          </w:tcPr>
          <w:p>
            <w:r>
              <w:rPr>
                <w:sz w:val="16"/>
              </w:rPr>
              <w:t>Proposal status disclosure</w:t>
            </w:r>
          </w:p>
        </w:tc>
        <w:tc>
          <w:tcPr>
            <w:tcW w:type="dxa" w:w="1701"/>
            <w:tcMar>
              <w:top w:w="80" w:type="dxa"/>
              <w:start w:w="90" w:type="dxa"/>
              <w:bottom w:w="80" w:type="dxa"/>
              <w:end w:w="90" w:type="dxa"/>
            </w:tcMar>
            <w:vAlign w:val="center"/>
          </w:tcPr>
          <w:p>
            <w:r>
              <w:rPr>
                <w:sz w:val="16"/>
              </w:rPr>
              <w:t>IMPROVED</w:t>
            </w:r>
          </w:p>
        </w:tc>
        <w:tc>
          <w:tcPr>
            <w:tcW w:type="dxa" w:w="5443"/>
            <w:tcMar>
              <w:top w:w="80" w:type="dxa"/>
              <w:start w:w="90" w:type="dxa"/>
              <w:bottom w:w="80" w:type="dxa"/>
              <w:end w:w="90" w:type="dxa"/>
            </w:tcMar>
            <w:vAlign w:val="center"/>
          </w:tcPr>
          <w:p>
            <w:r>
              <w:rPr>
                <w:sz w:val="16"/>
              </w:rPr>
              <w:t>Non-binding / no-certainty language added.</w:t>
            </w:r>
          </w:p>
        </w:tc>
      </w:tr>
      <w:tr>
        <w:tc>
          <w:tcPr>
            <w:tcW w:type="dxa" w:w="2721"/>
            <w:tcMar>
              <w:top w:w="80" w:type="dxa"/>
              <w:start w:w="90" w:type="dxa"/>
              <w:bottom w:w="80" w:type="dxa"/>
              <w:end w:w="90" w:type="dxa"/>
            </w:tcMar>
            <w:vAlign w:val="center"/>
          </w:tcPr>
          <w:p>
            <w:r>
              <w:rPr>
                <w:sz w:val="16"/>
              </w:rPr>
              <w:t>Integrated debt forecast</w:t>
            </w:r>
          </w:p>
        </w:tc>
        <w:tc>
          <w:tcPr>
            <w:tcW w:type="dxa" w:w="1701"/>
            <w:tcMar>
              <w:top w:w="80" w:type="dxa"/>
              <w:start w:w="90" w:type="dxa"/>
              <w:bottom w:w="80" w:type="dxa"/>
              <w:end w:w="90" w:type="dxa"/>
            </w:tcMar>
            <w:vAlign w:val="center"/>
          </w:tcPr>
          <w:p>
            <w:r>
              <w:rPr>
                <w:sz w:val="16"/>
              </w:rPr>
              <w:t>NOT CLAIMED</w:t>
            </w:r>
          </w:p>
        </w:tc>
        <w:tc>
          <w:tcPr>
            <w:tcW w:type="dxa" w:w="5443"/>
            <w:tcMar>
              <w:top w:w="80" w:type="dxa"/>
              <w:start w:w="90" w:type="dxa"/>
              <w:bottom w:w="80" w:type="dxa"/>
              <w:end w:w="90" w:type="dxa"/>
            </w:tcMar>
            <w:vAlign w:val="center"/>
          </w:tcPr>
          <w:p>
            <w:r>
              <w:rPr>
                <w:sz w:val="16"/>
              </w:rPr>
              <w:t>Current model is a debt-capacity scenario only.</w:t>
            </w:r>
          </w:p>
        </w:tc>
      </w:tr>
    </w:tbl>
    <w:p>
      <w:pPr>
        <w:pStyle w:val="Heading2"/>
      </w:pPr>
      <w:r>
        <w:t>Scope and limitations</w:t>
      </w:r>
    </w:p>
    <w:p>
      <w:r>
        <w:t>This audit checks the mathematical consistency of the uploaded workbook against the report and verifies the central disclosed proposal terms against Thames Water primary-source material. It does not constitute legal advice, a restructuring valuation opinion, a fairness opinion or independent verification of every underlying accounting balance. The L&amp;VW proposal was non-binding when announced and remained subject to stakeholder and regulatory processes.</w:t>
      </w:r>
    </w:p>
    <w:p>
      <w:pPr>
        <w:pStyle w:val="Heading2"/>
      </w:pPr>
      <w:r>
        <w:t>Primary sources</w:t>
      </w:r>
    </w:p>
    <w:p>
      <w:pPr>
        <w:spacing w:after="100"/>
      </w:pPr>
      <w:r>
        <w:rPr>
          <w:b/>
          <w:sz w:val="17"/>
        </w:rPr>
        <w:t>Thames Water — Recapitalisation Update, 16 March 2026</w:t>
      </w:r>
      <w:r>
        <w:rPr>
          <w:sz w:val="15"/>
        </w:rPr>
        <w:br/>
        <w:t>https://www.thameswater.co.uk/news/2026/mar/recapitalisation-update-press-speculation-on-london-valley-water-s-proposal</w:t>
      </w:r>
    </w:p>
    <w:p>
      <w:pPr>
        <w:spacing w:after="100"/>
      </w:pPr>
      <w:r>
        <w:rPr>
          <w:b/>
          <w:sz w:val="17"/>
        </w:rPr>
        <w:t>Thames Water — Half Year Results 2025/26</w:t>
      </w:r>
      <w:r>
        <w:rPr>
          <w:sz w:val="15"/>
        </w:rPr>
        <w:br/>
        <w:t>https://www.thameswater.co.uk/news/2025/dec/thames-water-half-year-results-202526</w:t>
      </w:r>
    </w:p>
    <w:p>
      <w:pPr>
        <w:spacing w:after="100"/>
      </w:pPr>
      <w:r>
        <w:rPr>
          <w:b/>
          <w:sz w:val="17"/>
        </w:rPr>
        <w:t>Thames Water — Annual Results 2025/26</w:t>
      </w:r>
      <w:r>
        <w:rPr>
          <w:sz w:val="15"/>
        </w:rPr>
        <w:br/>
        <w:t>https://www.thameswater.co.uk/news/2026/jul/thames-water-annual-results-2025-26</w:t>
      </w:r>
    </w:p>
    <w:p>
      <w:r>
        <w:rPr>
          <w:color w:val="5C6B7A"/>
          <w:sz w:val="16"/>
        </w:rPr>
        <w:t>Prepared by Ayush Chakraborty · Economics undergraduate, Durham University</w:t>
      </w:r>
    </w:p>
    <w:sectPr w:rsidR="00FC693F" w:rsidRPr="0006063C" w:rsidSect="00034616">
      <w:footerReference w:type="default" r:id="rId9"/>
      <w:pgSz w:w="12240" w:h="15840"/>
      <w:pgMar w:top="96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B7A"/>
        <w:sz w:val="14"/>
      </w:rPr>
      <w:t>Independent portfolio research | Educational purposes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02A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