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</w:rPr>
        <w:t>AYUSH CHAKRABORTY</w:t>
      </w:r>
    </w:p>
    <w:p>
      <w:pPr>
        <w:spacing w:after="60"/>
        <w:jc w:val="center"/>
      </w:pPr>
      <w:r>
        <w:rPr>
          <w:rFonts w:ascii="Arial" w:hAnsi="Arial"/>
        </w:rPr>
        <w:t xml:space="preserve">Durham, UK | +44 7939 361983 | </w:t>
      </w:r>
      <w:hyperlink r:id="rId9">
        <w:r>
          <w:rPr>
            <w:color w:val="0563C1"/>
            <w:u w:val="single"/>
          </w:rPr>
          <w:t>ayush.n.chakraborty@gmail.com</w:t>
        </w:r>
      </w:hyperlink>
      <w:r>
        <w:rPr>
          <w:rFonts w:ascii="Arial" w:hAnsi="Arial"/>
        </w:rPr>
        <w:t xml:space="preserve"> | </w:t>
      </w:r>
      <w:hyperlink r:id="rId10">
        <w:r>
          <w:rPr>
            <w:color w:val="0563C1"/>
            <w:u w:val="single"/>
          </w:rPr>
          <w:t>LinkedIn</w:t>
        </w:r>
      </w:hyperlink>
      <w:r>
        <w:rPr>
          <w:rFonts w:ascii="Arial" w:hAnsi="Arial"/>
        </w:rPr>
        <w:t xml:space="preserve"> | </w:t>
      </w:r>
      <w:hyperlink r:id="rId11">
        <w:r>
          <w:rPr>
            <w:color w:val="0563C1"/>
            <w:u w:val="single"/>
          </w:rPr>
          <w:t>Portfolio</w:t>
        </w:r>
      </w:hyperlink>
    </w:p>
    <w:p>
      <w:pPr>
        <w:pStyle w:val="CVSection"/>
        <w:keepNext/>
      </w:pPr>
      <w:r>
        <w:rPr>
          <w:rFonts w:ascii="Arial" w:hAnsi="Arial"/>
        </w:rPr>
        <w:t>EDUCATION</w:t>
      </w:r>
    </w:p>
    <w:p>
      <w:pPr>
        <w:tabs>
          <w:tab w:pos="10541" w:val="right"/>
        </w:tabs>
        <w:spacing w:before="40" w:after="0"/>
        <w:keepNext/>
      </w:pPr>
      <w:r>
        <w:rPr>
          <w:rFonts w:ascii="Arial" w:hAnsi="Arial"/>
          <w:b/>
        </w:rPr>
        <w:t>Durham University - Van Mildert College</w:t>
      </w:r>
      <w:r>
        <w:rPr>
          <w:rFonts w:ascii="Arial" w:hAnsi="Arial"/>
        </w:rPr>
        <w:tab/>
        <w:t>Durham, UK</w:t>
      </w:r>
    </w:p>
    <w:p>
      <w:pPr>
        <w:tabs>
          <w:tab w:pos="10541" w:val="right"/>
        </w:tabs>
        <w:spacing w:after="20"/>
        <w:keepNext/>
      </w:pPr>
      <w:r>
        <w:rPr>
          <w:rFonts w:ascii="Arial" w:hAnsi="Arial"/>
          <w:i/>
        </w:rPr>
        <w:t>BSc Economics | First-year result: Upper Second-Class Honours (2:1)</w:t>
      </w:r>
      <w:r>
        <w:rPr>
          <w:rFonts w:ascii="Arial" w:hAnsi="Arial"/>
        </w:rPr>
        <w:tab/>
        <w:t>2025 - 2028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Relevant coursework: Econometrics, Banking, Global Financial Systems and Markets, Mastering Data and Computation (Excel and R), Microeconomics and Macroeconomics.</w:t>
      </w:r>
    </w:p>
    <w:p>
      <w:pPr>
        <w:tabs>
          <w:tab w:pos="10541" w:val="right"/>
        </w:tabs>
        <w:spacing w:before="40" w:after="0"/>
        <w:keepNext/>
      </w:pPr>
      <w:r>
        <w:rPr>
          <w:rFonts w:ascii="Arial" w:hAnsi="Arial"/>
          <w:b/>
        </w:rPr>
        <w:t>United World College of South East Asia</w:t>
      </w:r>
      <w:r>
        <w:rPr>
          <w:rFonts w:ascii="Arial" w:hAnsi="Arial"/>
        </w:rPr>
        <w:tab/>
        <w:t>Singapore</w:t>
      </w:r>
    </w:p>
    <w:p>
      <w:pPr>
        <w:tabs>
          <w:tab w:pos="10541" w:val="right"/>
        </w:tabs>
        <w:spacing w:after="20"/>
        <w:keepNext/>
      </w:pPr>
      <w:r>
        <w:rPr>
          <w:rFonts w:ascii="Arial" w:hAnsi="Arial"/>
          <w:i/>
        </w:rPr>
        <w:t>International Baccalaureate Diploma | Higher Level: Economics, Mathematics AA and Computer Science</w:t>
      </w:r>
      <w:r>
        <w:rPr>
          <w:rFonts w:ascii="Arial" w:hAnsi="Arial"/>
        </w:rPr>
        <w:tab/>
        <w:t>2021 - 2025</w:t>
      </w:r>
    </w:p>
    <w:p>
      <w:pPr>
        <w:pStyle w:val="CVSection"/>
        <w:keepNext/>
      </w:pPr>
      <w:r>
        <w:rPr>
          <w:rFonts w:ascii="Arial" w:hAnsi="Arial"/>
        </w:rPr>
        <w:t>PROFESSIONAL EXPERIENCE</w:t>
      </w:r>
    </w:p>
    <w:p>
      <w:pPr>
        <w:tabs>
          <w:tab w:pos="10541" w:val="right"/>
        </w:tabs>
        <w:spacing w:before="40" w:after="0"/>
        <w:keepNext/>
      </w:pPr>
      <w:r>
        <w:rPr>
          <w:rFonts w:ascii="Arial" w:hAnsi="Arial"/>
          <w:b/>
        </w:rPr>
        <w:t>SMIFS Limited - Research Department</w:t>
      </w:r>
      <w:r>
        <w:rPr>
          <w:rFonts w:ascii="Arial" w:hAnsi="Arial"/>
        </w:rPr>
        <w:tab/>
        <w:t>Kolkata, India</w:t>
      </w:r>
    </w:p>
    <w:p>
      <w:pPr>
        <w:tabs>
          <w:tab w:pos="10541" w:val="right"/>
        </w:tabs>
        <w:spacing w:after="20"/>
        <w:keepNext/>
      </w:pPr>
      <w:r>
        <w:rPr>
          <w:rFonts w:ascii="Arial" w:hAnsi="Arial"/>
          <w:i/>
        </w:rPr>
        <w:t>Macroeconomic and Equity Research Intern</w:t>
      </w:r>
      <w:r>
        <w:rPr>
          <w:rFonts w:ascii="Arial" w:hAnsi="Arial"/>
        </w:rPr>
        <w:tab/>
        <w:t>Jul 2024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Drafted analysis for three institutional research notes and presentation decks covering Indian CPI/WPI inflation, the trade balance and RBI monetary policy, translating economic releases into concise commentary for internal and external use.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Supported senior analysts with company and transaction screening, organising financial data into repeatable comparable-company and precedent-transaction frameworks for client-facing output.</w:t>
      </w:r>
    </w:p>
    <w:p>
      <w:pPr>
        <w:pStyle w:val="CVSection"/>
        <w:keepNext/>
      </w:pPr>
      <w:r>
        <w:rPr>
          <w:rFonts w:ascii="Arial" w:hAnsi="Arial"/>
        </w:rPr>
        <w:t>SELECTED TRANSACTION AND VALUATION EXPERIENCE</w:t>
      </w:r>
    </w:p>
    <w:p>
      <w:pPr>
        <w:tabs>
          <w:tab w:pos="10541" w:val="right"/>
        </w:tabs>
        <w:spacing w:before="40" w:after="0"/>
        <w:keepNext/>
      </w:pPr>
      <w:r>
        <w:rPr>
          <w:rFonts w:ascii="Arial" w:hAnsi="Arial"/>
          <w:b/>
        </w:rPr>
        <w:t>OCS / Mitie - £3.1bn Acquisition Analysis</w:t>
      </w:r>
      <w:r>
        <w:rPr>
          <w:rFonts w:ascii="Arial" w:hAnsi="Arial"/>
        </w:rPr>
        <w:tab/>
        <w:t>Independent Research</w:t>
      </w:r>
    </w:p>
    <w:p>
      <w:pPr>
        <w:tabs>
          <w:tab w:pos="10541" w:val="right"/>
        </w:tabs>
        <w:spacing w:after="20"/>
        <w:keepNext/>
      </w:pPr>
      <w:r>
        <w:rPr>
          <w:rFonts w:ascii="Arial" w:hAnsi="Arial"/>
          <w:i/>
        </w:rPr>
        <w:t>Transaction Analysis</w:t>
      </w:r>
      <w:r>
        <w:rPr>
          <w:rFonts w:ascii="Arial" w:hAnsi="Arial"/>
        </w:rPr>
        <w:tab/>
        <w:t>Sep 2026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Evaluated 218.5p cash consideration and 221.6p headline value against Mitie's 151.0p unaffected price, quantifying a 46.8% premium and assessing strategic rationale, financing and execution risk.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Modelled £50m-£150m illustrative synergy cases, leverage and deleveraging paths, separating publicly disclosed terms from analytical assumptions to judge whether the premium was defensible.</w:t>
      </w:r>
    </w:p>
    <w:p>
      <w:pPr>
        <w:tabs>
          <w:tab w:pos="10541" w:val="right"/>
        </w:tabs>
        <w:spacing w:before="40" w:after="0"/>
        <w:keepNext/>
      </w:pPr>
      <w:r>
        <w:rPr>
          <w:rFonts w:ascii="Arial" w:hAnsi="Arial"/>
          <w:b/>
        </w:rPr>
        <w:t>Thames Water - Restructuring and Recapitalisation</w:t>
      </w:r>
      <w:r>
        <w:rPr>
          <w:rFonts w:ascii="Arial" w:hAnsi="Arial"/>
        </w:rPr>
        <w:tab/>
        <w:t>Independent Research</w:t>
      </w:r>
    </w:p>
    <w:p>
      <w:pPr>
        <w:tabs>
          <w:tab w:pos="10541" w:val="right"/>
        </w:tabs>
        <w:spacing w:after="20"/>
        <w:keepNext/>
      </w:pPr>
      <w:r>
        <w:rPr>
          <w:rFonts w:ascii="Arial" w:hAnsi="Arial"/>
          <w:i/>
        </w:rPr>
        <w:t>Restructuring Analysis</w:t>
      </w:r>
      <w:r>
        <w:rPr>
          <w:rFonts w:ascii="Arial" w:hAnsi="Arial"/>
        </w:rPr>
        <w:tab/>
        <w:t>Mar 2026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Reconstructed the creditor waterfall for a proposed £3.35bn equity injection and £3.25bn day-one debt structure, testing recoveries under a 30% Class A haircut and full junior-capital write-off.</w:t>
      </w:r>
    </w:p>
    <w:p>
      <w:pPr>
        <w:tabs>
          <w:tab w:pos="10541" w:val="right"/>
        </w:tabs>
        <w:spacing w:before="40" w:after="0"/>
        <w:keepNext/>
      </w:pPr>
      <w:r>
        <w:rPr>
          <w:rFonts w:ascii="Arial" w:hAnsi="Arial"/>
          <w:b/>
        </w:rPr>
        <w:t>ITC Limited - Equity Research and Valuation</w:t>
      </w:r>
      <w:r>
        <w:rPr>
          <w:rFonts w:ascii="Arial" w:hAnsi="Arial"/>
        </w:rPr>
        <w:tab/>
        <w:t>Independent Research</w:t>
      </w:r>
    </w:p>
    <w:p>
      <w:pPr>
        <w:tabs>
          <w:tab w:pos="10541" w:val="right"/>
        </w:tabs>
        <w:spacing w:after="20"/>
        <w:keepNext/>
      </w:pPr>
      <w:r>
        <w:rPr>
          <w:rFonts w:ascii="Arial" w:hAnsi="Arial"/>
          <w:i/>
        </w:rPr>
        <w:t>Equity Research</w:t>
      </w:r>
      <w:r>
        <w:rPr>
          <w:rFonts w:ascii="Arial" w:hAnsi="Arial"/>
        </w:rPr>
        <w:tab/>
        <w:t>Mar 2025 - Sep 2026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Built a five-year segment model, FCFF DCF, FCFE/dividend analysis and SOTP valuation; triangulated a ₹372 target against a ₹263.50 reference price, implying approximately 41% upside.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Analysed 65 monthly ITC, NIFTY and RBI observations using multiple linear regression, interpreting a 0.94 market beta and R-squared of 0.356 while distinguishing correlation from causation.</w:t>
      </w:r>
    </w:p>
    <w:p>
      <w:pPr>
        <w:pStyle w:val="CVSection"/>
        <w:keepNext/>
      </w:pPr>
      <w:r>
        <w:rPr>
          <w:rFonts w:ascii="Arial" w:hAnsi="Arial"/>
        </w:rPr>
        <w:t>LEADERSHIP</w:t>
      </w:r>
    </w:p>
    <w:p>
      <w:pPr>
        <w:tabs>
          <w:tab w:pos="10541" w:val="right"/>
        </w:tabs>
        <w:spacing w:before="40" w:after="0"/>
        <w:keepNext/>
      </w:pPr>
      <w:r>
        <w:rPr>
          <w:rFonts w:ascii="Arial" w:hAnsi="Arial"/>
          <w:b/>
        </w:rPr>
        <w:t>JAAGO Global Concern, UWCSEA</w:t>
      </w:r>
      <w:r>
        <w:rPr>
          <w:rFonts w:ascii="Arial" w:hAnsi="Arial"/>
        </w:rPr>
        <w:tab/>
        <w:t>Singapore</w:t>
      </w:r>
    </w:p>
    <w:p>
      <w:pPr>
        <w:tabs>
          <w:tab w:pos="10541" w:val="right"/>
        </w:tabs>
        <w:spacing w:after="20"/>
        <w:keepNext/>
      </w:pPr>
      <w:r>
        <w:rPr>
          <w:rFonts w:ascii="Arial" w:hAnsi="Arial"/>
          <w:i/>
        </w:rPr>
        <w:t>Elected Chairperson and Executive Co-Leader</w:t>
      </w:r>
      <w:r>
        <w:rPr>
          <w:rFonts w:ascii="Arial" w:hAnsi="Arial"/>
        </w:rPr>
        <w:tab/>
        <w:t>Sep 2023 - Aug 2024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Led a 12-person committee through a compressed approval and planning process to deliver a first-time fundraising gala, raising SGD2,100 toward tuition support for 60 students in Bangladesh.</w:t>
      </w:r>
    </w:p>
    <w:p>
      <w:pPr>
        <w:pStyle w:val="ListBullet"/>
        <w:spacing w:after="24" w:line="240" w:lineRule="auto"/>
        <w:ind w:left="259" w:hanging="202"/>
        <w:keepLines/>
      </w:pPr>
      <w:r>
        <w:rPr>
          <w:rFonts w:ascii="Arial" w:hAnsi="Arial"/>
        </w:rPr>
        <w:t>Presented the case for sustained funding to stakeholders and secured multi-year partner commitments while coordinating advertising, resourcing and event delivery.</w:t>
      </w:r>
    </w:p>
    <w:p>
      <w:pPr>
        <w:pStyle w:val="CVSection"/>
        <w:keepNext/>
      </w:pPr>
      <w:r>
        <w:rPr>
          <w:rFonts w:ascii="Arial" w:hAnsi="Arial"/>
        </w:rPr>
        <w:t>SKILLS AND INTERESTS</w:t>
      </w:r>
    </w:p>
    <w:p>
      <w:pPr>
        <w:spacing w:after="20"/>
      </w:pPr>
      <w:r>
        <w:rPr>
          <w:rFonts w:ascii="Arial" w:hAnsi="Arial"/>
          <w:b/>
        </w:rPr>
        <w:t xml:space="preserve">Technical: </w:t>
      </w:r>
      <w:r>
        <w:rPr>
          <w:rFonts w:ascii="Arial" w:hAnsi="Arial"/>
        </w:rPr>
        <w:t>Excel (financial modelling, XLOOKUP and advanced formulas), PowerPoint, Word, R (tidyquant and regression), SQL; Bloomberg Terminal (working knowledge).</w:t>
      </w:r>
    </w:p>
    <w:p>
      <w:r>
        <w:rPr>
          <w:rFonts w:ascii="Arial" w:hAnsi="Arial"/>
          <w:b/>
        </w:rPr>
        <w:t xml:space="preserve">Languages: </w:t>
      </w:r>
      <w:r>
        <w:rPr>
          <w:rFonts w:ascii="Arial" w:hAnsi="Arial"/>
        </w:rPr>
        <w:t xml:space="preserve">English and Bengali (native); Mandarin Chinese (intermediate).  </w:t>
      </w:r>
      <w:r>
        <w:rPr>
          <w:rFonts w:ascii="Arial" w:hAnsi="Arial"/>
          <w:b/>
        </w:rPr>
        <w:t xml:space="preserve">Interests: </w:t>
      </w:r>
      <w:r>
        <w:rPr>
          <w:rFonts w:ascii="Arial" w:hAnsi="Arial"/>
        </w:rPr>
        <w:t>Tennis, football, chess and drums.</w:t>
      </w:r>
    </w:p>
    <w:sectPr w:rsidR="00FC693F" w:rsidRPr="0006063C" w:rsidSect="00034616">
      <w:pgSz w:w="12240" w:h="15840"/>
      <w:pgMar w:top="749" w:right="835" w:bottom="619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20" w:after="50"/>
    </w:pPr>
    <w:rPr>
      <w:rFonts w:ascii="Arial" w:hAnsi="Arial"/>
      <w:b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yush.n.chakraborty@gmail.com" TargetMode="External"/><Relationship Id="rId10" Type="http://schemas.openxmlformats.org/officeDocument/2006/relationships/hyperlink" Target="https://www.linkedin.com/in/ayushchakr/" TargetMode="External"/><Relationship Id="rId11" Type="http://schemas.openxmlformats.org/officeDocument/2006/relationships/hyperlink" Target="https://ayushchakrabort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Ayush Chakraborty CV</dc:title>
  <dc:subject>Investment banking and finance curriculum vitae</dc:subject>
  <dc:creator>Ayush Chakraborty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