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00"/>
      </w:pPr>
      <w:r>
        <w:rPr>
          <w:b/>
          <w:sz w:val="34"/>
          <w:color w:val="0B1F33"/>
        </w:rPr>
        <w:t xml:space="preserve">ITC Limited - Equity Research &amp; DCF</w:t>
      </w:r>
    </w:p>
    <w:p>
      <w:pPr>
        <w:spacing w:after="220"/>
      </w:pPr>
      <w:r>
        <w:rPr>
          <w:b/>
          <w:sz w:val="18"/>
          <w:color w:val="5B6573"/>
        </w:rPr>
        <w:t xml:space="preserve">September 2026 | Ayush Chakraborty</w:t>
      </w:r>
    </w:p>
    <w:p>
      <w:pPr>
        <w:pStyle w:val="Heading1"/>
        <w:spacing w:after="100"/>
      </w:pPr>
      <w:r>
        <w:rPr>
          <w:b/>
          <w:sz w:val="24"/>
          <w:color w:val="0B1F33"/>
        </w:rPr>
        <w:t xml:space="preserve">Executive summary</w:t>
      </w:r>
    </w:p>
    <w:p>
      <w:pPr>
        <w:spacing w:after="120"/>
      </w:pPr>
      <w:r>
        <w:rPr>
          <w:sz w:val="18"/>
        </w:rPr>
        <w:t xml:space="preserve">The model is formula-driven, ties segment forecasts to consolidated revenue and EBIT, uses a transparent liquid-financial-assets bridge and includes an explicit WACC / terminal-growth sensitivity. Under the central assumptions, the illustrative DCF is ₹362.8 per share versus the ₹263.50 reference price used in the analysis, a 37.7% gap. This is a scenario output rather than a price target or investment recommendation.</w:t>
      </w:r>
    </w:p>
    <w:p>
      <w:pPr>
        <w:pStyle w:val="Heading1"/>
        <w:spacing w:after="100"/>
      </w:pPr>
      <w:r>
        <w:rPr>
          <w:b/>
          <w:sz w:val="24"/>
          <w:color w:val="0B1F33"/>
        </w:rPr>
        <w:t xml:space="preserve">Historical inputs</w:t>
      </w:r>
    </w:p>
    <w:tbl>
      <w:tblPr>
        <w:tblBorders>
          <w:top w:val="single" w:sz="2" w:color="B7C2CC"/>
          <w:left w:val="single" w:sz="2" w:color="B7C2CC"/>
          <w:bottom w:val="single" w:sz="2" w:color="B7C2CC"/>
          <w:right w:val="single" w:sz="2" w:color="B7C2CC"/>
          <w:insideH w:val="single" w:sz="2" w:color="D7DDE3"/>
          <w:insideV w:val="single" w:sz="2" w:color="D7DDE3"/>
        </w:tblBorders>
      </w:tblPr>
      <w:tr>
        <w:tc>
          <w:tcPr>
            <w:shd w:fill="D9EAF7"/>
          </w:tcPr>
          <w:p>
            <w:pPr>
              <w:spacing w:after="40"/>
            </w:pPr>
            <w:r>
              <w:rPr>
                <w:b/>
                <w:sz w:val="16"/>
              </w:rPr>
              <w:t xml:space="preserve">Metric</w:t>
            </w:r>
          </w:p>
        </w:tc>
        <w:tc>
          <w:tcPr>
            <w:shd w:fill="D9EAF7"/>
          </w:tcPr>
          <w:p>
            <w:pPr>
              <w:spacing w:after="40"/>
            </w:pPr>
            <w:r>
              <w:rPr>
                <w:b/>
                <w:sz w:val="16"/>
              </w:rPr>
              <w:t xml:space="preserve">FY26 input</w:t>
            </w:r>
          </w:p>
        </w:tc>
      </w:tr>
      <w:tr>
        <w:tc>
          <w:tcPr/>
          <w:p>
            <w:pPr>
              <w:spacing w:after="40"/>
            </w:pPr>
            <w:r>
              <w:rPr>
                <w:sz w:val="16"/>
              </w:rPr>
              <w:t xml:space="preserve">D&amp;A</w:t>
            </w:r>
          </w:p>
        </w:tc>
        <w:tc>
          <w:tcPr/>
          <w:p>
            <w:pPr>
              <w:spacing w:after="40"/>
            </w:pPr>
            <w:r>
              <w:rPr>
                <w:sz w:val="16"/>
              </w:rPr>
              <w:t xml:space="preserve">₹1,710.53cr</w:t>
            </w:r>
          </w:p>
        </w:tc>
      </w:tr>
      <w:tr>
        <w:tc>
          <w:tcPr/>
          <w:p>
            <w:pPr>
              <w:spacing w:after="40"/>
            </w:pPr>
            <w:r>
              <w:rPr>
                <w:sz w:val="16"/>
              </w:rPr>
              <w:t xml:space="preserve">PAT attributable to owners</w:t>
            </w:r>
          </w:p>
        </w:tc>
        <w:tc>
          <w:tcPr/>
          <w:p>
            <w:pPr>
              <w:spacing w:after="40"/>
            </w:pPr>
            <w:r>
              <w:rPr>
                <w:sz w:val="16"/>
              </w:rPr>
              <w:t xml:space="preserve">₹20,689.47cr</w:t>
            </w:r>
          </w:p>
        </w:tc>
      </w:tr>
      <w:tr>
        <w:tc>
          <w:tcPr/>
          <w:p>
            <w:pPr>
              <w:spacing w:after="40"/>
            </w:pPr>
            <w:r>
              <w:rPr>
                <w:sz w:val="16"/>
              </w:rPr>
              <w:t xml:space="preserve">Inventory</w:t>
            </w:r>
          </w:p>
        </w:tc>
        <w:tc>
          <w:tcPr/>
          <w:p>
            <w:pPr>
              <w:spacing w:after="40"/>
            </w:pPr>
            <w:r>
              <w:rPr>
                <w:sz w:val="16"/>
              </w:rPr>
              <w:t xml:space="preserve">₹18,622.96cr</w:t>
            </w:r>
          </w:p>
        </w:tc>
      </w:tr>
      <w:tr>
        <w:tc>
          <w:tcPr/>
          <w:p>
            <w:pPr>
              <w:spacing w:after="40"/>
            </w:pPr>
            <w:r>
              <w:rPr>
                <w:sz w:val="16"/>
              </w:rPr>
              <w:t xml:space="preserve">Net working capital</w:t>
            </w:r>
          </w:p>
        </w:tc>
        <w:tc>
          <w:tcPr/>
          <w:p>
            <w:pPr>
              <w:spacing w:after="40"/>
            </w:pPr>
            <w:r>
              <w:rPr>
                <w:sz w:val="16"/>
              </w:rPr>
              <w:t xml:space="preserve">₹16,906.27cr</w:t>
            </w:r>
          </w:p>
        </w:tc>
      </w:tr>
    </w:tbl>
    <w:p>
      <w:pPr>
        <w:spacing w:after="100"/>
      </w:pPr>
      <w:r>
        <w:rPr>
          <w:sz w:val="18"/>
        </w:rPr>
        <w:t xml:space="preserve"/>
      </w:r>
    </w:p>
    <w:p>
      <w:pPr>
        <w:pStyle w:val="Heading1"/>
        <w:spacing w:after="100"/>
      </w:pPr>
      <w:r>
        <w:rPr>
          <w:b/>
          <w:sz w:val="24"/>
          <w:color w:val="0B1F33"/>
        </w:rPr>
        <w:t xml:space="preserve">Forecast construction</w:t>
      </w:r>
    </w:p>
    <w:p>
      <w:pPr>
        <w:spacing w:after="120"/>
      </w:pPr>
      <w:r>
        <w:rPr>
          <w:sz w:val="18"/>
        </w:rPr>
        <w:t xml:space="preserve">The five-year forecast begins from FY26 segment revenue and PBIT. Segment revenue is projected separately, intersegment eliminations are applied explicitly, other operating revenue is added, and segment PBIT is bridged to consolidated operating EBIT through a corporate / unallocated operating contribution.</w:t>
      </w:r>
    </w:p>
    <w:tbl>
      <w:tblPr>
        <w:tblBorders>
          <w:top w:val="single" w:sz="2" w:color="B7C2CC"/>
          <w:left w:val="single" w:sz="2" w:color="B7C2CC"/>
          <w:bottom w:val="single" w:sz="2" w:color="B7C2CC"/>
          <w:right w:val="single" w:sz="2" w:color="B7C2CC"/>
          <w:insideH w:val="single" w:sz="2" w:color="D7DDE3"/>
          <w:insideV w:val="single" w:sz="2" w:color="D7DDE3"/>
        </w:tblBorders>
      </w:tblPr>
      <w:tr>
        <w:tc>
          <w:tcPr>
            <w:shd w:fill="D9EAF7"/>
          </w:tcPr>
          <w:p>
            <w:pPr>
              <w:spacing w:after="40"/>
            </w:pPr>
            <w:r>
              <w:rPr>
                <w:b/>
                <w:sz w:val="16"/>
              </w:rPr>
              <w:t xml:space="preserve">FY</w:t>
            </w:r>
          </w:p>
        </w:tc>
        <w:tc>
          <w:tcPr>
            <w:shd w:fill="D9EAF7"/>
          </w:tcPr>
          <w:p>
            <w:pPr>
              <w:spacing w:after="40"/>
            </w:pPr>
            <w:r>
              <w:rPr>
                <w:b/>
                <w:sz w:val="16"/>
              </w:rPr>
              <w:t xml:space="preserve">Revenue (₹cr)</w:t>
            </w:r>
          </w:p>
        </w:tc>
        <w:tc>
          <w:tcPr>
            <w:shd w:fill="D9EAF7"/>
          </w:tcPr>
          <w:p>
            <w:pPr>
              <w:spacing w:after="40"/>
            </w:pPr>
            <w:r>
              <w:rPr>
                <w:b/>
                <w:sz w:val="16"/>
              </w:rPr>
              <w:t xml:space="preserve">EBIT (₹cr)</w:t>
            </w:r>
          </w:p>
        </w:tc>
        <w:tc>
          <w:tcPr>
            <w:shd w:fill="D9EAF7"/>
          </w:tcPr>
          <w:p>
            <w:pPr>
              <w:spacing w:after="40"/>
            </w:pPr>
            <w:r>
              <w:rPr>
                <w:b/>
                <w:sz w:val="16"/>
              </w:rPr>
              <w:t xml:space="preserve">FCFF (₹cr)</w:t>
            </w:r>
          </w:p>
        </w:tc>
      </w:tr>
      <w:tr>
        <w:tc>
          <w:tcPr/>
          <w:p>
            <w:pPr>
              <w:spacing w:after="40"/>
            </w:pPr>
            <w:r>
              <w:rPr>
                <w:sz w:val="16"/>
              </w:rPr>
              <w:t xml:space="preserve">FY27E</w:t>
            </w:r>
          </w:p>
        </w:tc>
        <w:tc>
          <w:tcPr/>
          <w:p>
            <w:pPr>
              <w:spacing w:after="40"/>
            </w:pPr>
            <w:r>
              <w:rPr>
                <w:sz w:val="16"/>
              </w:rPr>
              <w:t xml:space="preserve">96,654.3</w:t>
            </w:r>
          </w:p>
        </w:tc>
        <w:tc>
          <w:tcPr/>
          <w:p>
            <w:pPr>
              <w:spacing w:after="40"/>
            </w:pPr>
            <w:r>
              <w:rPr>
                <w:sz w:val="16"/>
              </w:rPr>
              <w:t xml:space="preserve">27,080.4</w:t>
            </w:r>
          </w:p>
        </w:tc>
        <w:tc>
          <w:tcPr/>
          <w:p>
            <w:pPr>
              <w:spacing w:after="40"/>
            </w:pPr>
            <w:r>
              <w:rPr>
                <w:sz w:val="16"/>
              </w:rPr>
              <w:t xml:space="preserve">18,465.6</w:t>
            </w:r>
          </w:p>
        </w:tc>
      </w:tr>
      <w:tr>
        <w:tc>
          <w:tcPr/>
          <w:p>
            <w:pPr>
              <w:spacing w:after="40"/>
            </w:pPr>
            <w:r>
              <w:rPr>
                <w:sz w:val="16"/>
              </w:rPr>
              <w:t xml:space="preserve">FY28E</w:t>
            </w:r>
          </w:p>
        </w:tc>
        <w:tc>
          <w:tcPr/>
          <w:p>
            <w:pPr>
              <w:spacing w:after="40"/>
            </w:pPr>
            <w:r>
              <w:rPr>
                <w:sz w:val="16"/>
              </w:rPr>
              <w:t xml:space="preserve">104,023.4</w:t>
            </w:r>
          </w:p>
        </w:tc>
        <w:tc>
          <w:tcPr/>
          <w:p>
            <w:pPr>
              <w:spacing w:after="40"/>
            </w:pPr>
            <w:r>
              <w:rPr>
                <w:sz w:val="16"/>
              </w:rPr>
              <w:t xml:space="preserve">29,503.8</w:t>
            </w:r>
          </w:p>
        </w:tc>
        <w:tc>
          <w:tcPr/>
          <w:p>
            <w:pPr>
              <w:spacing w:after="40"/>
            </w:pPr>
            <w:r>
              <w:rPr>
                <w:sz w:val="16"/>
              </w:rPr>
              <w:t xml:space="preserve">20,229.7</w:t>
            </w:r>
          </w:p>
        </w:tc>
      </w:tr>
      <w:tr>
        <w:tc>
          <w:tcPr/>
          <w:p>
            <w:pPr>
              <w:spacing w:after="40"/>
            </w:pPr>
            <w:r>
              <w:rPr>
                <w:sz w:val="16"/>
              </w:rPr>
              <w:t xml:space="preserve">FY29E</w:t>
            </w:r>
          </w:p>
        </w:tc>
        <w:tc>
          <w:tcPr/>
          <w:p>
            <w:pPr>
              <w:spacing w:after="40"/>
            </w:pPr>
            <w:r>
              <w:rPr>
                <w:sz w:val="16"/>
              </w:rPr>
              <w:t xml:space="preserve">111,410.9</w:t>
            </w:r>
          </w:p>
        </w:tc>
        <w:tc>
          <w:tcPr/>
          <w:p>
            <w:pPr>
              <w:spacing w:after="40"/>
            </w:pPr>
            <w:r>
              <w:rPr>
                <w:sz w:val="16"/>
              </w:rPr>
              <w:t xml:space="preserve">32,079.4</w:t>
            </w:r>
          </w:p>
        </w:tc>
        <w:tc>
          <w:tcPr/>
          <w:p>
            <w:pPr>
              <w:spacing w:after="40"/>
            </w:pPr>
            <w:r>
              <w:rPr>
                <w:sz w:val="16"/>
              </w:rPr>
              <w:t xml:space="preserve">22,135.8</w:t>
            </w:r>
          </w:p>
        </w:tc>
      </w:tr>
      <w:tr>
        <w:tc>
          <w:tcPr/>
          <w:p>
            <w:pPr>
              <w:spacing w:after="40"/>
            </w:pPr>
            <w:r>
              <w:rPr>
                <w:sz w:val="16"/>
              </w:rPr>
              <w:t xml:space="preserve">FY30E</w:t>
            </w:r>
          </w:p>
        </w:tc>
        <w:tc>
          <w:tcPr/>
          <w:p>
            <w:pPr>
              <w:spacing w:after="40"/>
            </w:pPr>
            <w:r>
              <w:rPr>
                <w:sz w:val="16"/>
              </w:rPr>
              <w:t xml:space="preserve">118,470.7</w:t>
            </w:r>
          </w:p>
        </w:tc>
        <w:tc>
          <w:tcPr/>
          <w:p>
            <w:pPr>
              <w:spacing w:after="40"/>
            </w:pPr>
            <w:r>
              <w:rPr>
                <w:sz w:val="16"/>
              </w:rPr>
              <w:t xml:space="preserve">34,567.5</w:t>
            </w:r>
          </w:p>
        </w:tc>
        <w:tc>
          <w:tcPr/>
          <w:p>
            <w:pPr>
              <w:spacing w:after="40"/>
            </w:pPr>
            <w:r>
              <w:rPr>
                <w:sz w:val="16"/>
              </w:rPr>
              <w:t xml:space="preserve">24,041.3</w:t>
            </w:r>
          </w:p>
        </w:tc>
      </w:tr>
      <w:tr>
        <w:tc>
          <w:tcPr/>
          <w:p>
            <w:pPr>
              <w:spacing w:after="40"/>
            </w:pPr>
            <w:r>
              <w:rPr>
                <w:sz w:val="16"/>
              </w:rPr>
              <w:t xml:space="preserve">FY31E</w:t>
            </w:r>
          </w:p>
        </w:tc>
        <w:tc>
          <w:tcPr/>
          <w:p>
            <w:pPr>
              <w:spacing w:after="40"/>
            </w:pPr>
            <w:r>
              <w:rPr>
                <w:sz w:val="16"/>
              </w:rPr>
              <w:t xml:space="preserve">125,437.1</w:t>
            </w:r>
          </w:p>
        </w:tc>
        <w:tc>
          <w:tcPr/>
          <w:p>
            <w:pPr>
              <w:spacing w:after="40"/>
            </w:pPr>
            <w:r>
              <w:rPr>
                <w:sz w:val="16"/>
              </w:rPr>
              <w:t xml:space="preserve">37,248.0</w:t>
            </w:r>
          </w:p>
        </w:tc>
        <w:tc>
          <w:tcPr/>
          <w:p>
            <w:pPr>
              <w:spacing w:after="40"/>
            </w:pPr>
            <w:r>
              <w:rPr>
                <w:sz w:val="16"/>
              </w:rPr>
              <w:t xml:space="preserve">25,922.5</w:t>
            </w:r>
          </w:p>
        </w:tc>
      </w:tr>
    </w:tbl>
    <w:p>
      <w:pPr>
        <w:spacing w:after="100"/>
      </w:pPr>
      <w:r>
        <w:rPr>
          <w:sz w:val="18"/>
        </w:rPr>
        <w:t xml:space="preserve"/>
      </w:r>
    </w:p>
    <w:p>
      <w:pPr>
        <w:pStyle w:val="Heading1"/>
        <w:spacing w:after="100"/>
      </w:pPr>
      <w:r>
        <w:rPr>
          <w:b/>
          <w:sz w:val="24"/>
          <w:color w:val="0B1F33"/>
        </w:rPr>
        <w:t xml:space="preserve">Valuation</w:t>
      </w:r>
    </w:p>
    <w:tbl>
      <w:tblPr>
        <w:tblBorders>
          <w:top w:val="single" w:sz="2" w:color="B7C2CC"/>
          <w:left w:val="single" w:sz="2" w:color="B7C2CC"/>
          <w:bottom w:val="single" w:sz="2" w:color="B7C2CC"/>
          <w:right w:val="single" w:sz="2" w:color="B7C2CC"/>
          <w:insideH w:val="single" w:sz="2" w:color="D7DDE3"/>
          <w:insideV w:val="single" w:sz="2" w:color="D7DDE3"/>
        </w:tblBorders>
      </w:tblPr>
      <w:tr>
        <w:tc>
          <w:tcPr>
            <w:shd w:fill="D9EAF7"/>
          </w:tcPr>
          <w:p>
            <w:pPr>
              <w:spacing w:after="40"/>
            </w:pPr>
            <w:r>
              <w:rPr>
                <w:b/>
                <w:sz w:val="16"/>
              </w:rPr>
              <w:t xml:space="preserve">Component</w:t>
            </w:r>
          </w:p>
        </w:tc>
        <w:tc>
          <w:tcPr>
            <w:shd w:fill="D9EAF7"/>
          </w:tcPr>
          <w:p>
            <w:pPr>
              <w:spacing w:after="40"/>
            </w:pPr>
            <w:r>
              <w:rPr>
                <w:b/>
                <w:sz w:val="16"/>
              </w:rPr>
              <w:t xml:space="preserve">Central case</w:t>
            </w:r>
          </w:p>
        </w:tc>
      </w:tr>
      <w:tr>
        <w:tc>
          <w:tcPr/>
          <w:p>
            <w:pPr>
              <w:spacing w:after="40"/>
            </w:pPr>
            <w:r>
              <w:rPr>
                <w:sz w:val="16"/>
              </w:rPr>
              <w:t xml:space="preserve">PV explicit FCFF</w:t>
            </w:r>
          </w:p>
        </w:tc>
        <w:tc>
          <w:tcPr/>
          <w:p>
            <w:pPr>
              <w:spacing w:after="40"/>
            </w:pPr>
            <w:r>
              <w:rPr>
                <w:sz w:val="16"/>
              </w:rPr>
              <w:t xml:space="preserve">₹83,784.4cr</w:t>
            </w:r>
          </w:p>
        </w:tc>
      </w:tr>
      <w:tr>
        <w:tc>
          <w:tcPr/>
          <w:p>
            <w:pPr>
              <w:spacing w:after="40"/>
            </w:pPr>
            <w:r>
              <w:rPr>
                <w:sz w:val="16"/>
              </w:rPr>
              <w:t xml:space="preserve">PV terminal value</w:t>
            </w:r>
          </w:p>
        </w:tc>
        <w:tc>
          <w:tcPr/>
          <w:p>
            <w:pPr>
              <w:spacing w:after="40"/>
            </w:pPr>
            <w:r>
              <w:rPr>
                <w:sz w:val="16"/>
              </w:rPr>
              <w:t xml:space="preserve">₹344,153.2cr</w:t>
            </w:r>
          </w:p>
        </w:tc>
      </w:tr>
      <w:tr>
        <w:tc>
          <w:tcPr/>
          <w:p>
            <w:pPr>
              <w:spacing w:after="40"/>
            </w:pPr>
            <w:r>
              <w:rPr>
                <w:sz w:val="16"/>
              </w:rPr>
              <w:t xml:space="preserve">Enterprise value</w:t>
            </w:r>
          </w:p>
        </w:tc>
        <w:tc>
          <w:tcPr/>
          <w:p>
            <w:pPr>
              <w:spacing w:after="40"/>
            </w:pPr>
            <w:r>
              <w:rPr>
                <w:sz w:val="16"/>
              </w:rPr>
              <w:t xml:space="preserve">₹427,937.6cr</w:t>
            </w:r>
          </w:p>
        </w:tc>
      </w:tr>
      <w:tr>
        <w:tc>
          <w:tcPr/>
          <w:p>
            <w:pPr>
              <w:spacing w:after="40"/>
            </w:pPr>
            <w:r>
              <w:rPr>
                <w:sz w:val="16"/>
              </w:rPr>
              <w:t xml:space="preserve">Valuation adjustments</w:t>
            </w:r>
          </w:p>
        </w:tc>
        <w:tc>
          <w:tcPr/>
          <w:p>
            <w:pPr>
              <w:spacing w:after="40"/>
            </w:pPr>
            <w:r>
              <w:rPr>
                <w:sz w:val="16"/>
              </w:rPr>
              <w:t xml:space="preserve">₹26,648.6cr</w:t>
            </w:r>
          </w:p>
        </w:tc>
      </w:tr>
      <w:tr>
        <w:tc>
          <w:tcPr/>
          <w:p>
            <w:pPr>
              <w:spacing w:after="40"/>
            </w:pPr>
            <w:r>
              <w:rPr>
                <w:sz w:val="16"/>
              </w:rPr>
              <w:t xml:space="preserve">Equity value</w:t>
            </w:r>
          </w:p>
        </w:tc>
        <w:tc>
          <w:tcPr/>
          <w:p>
            <w:pPr>
              <w:spacing w:after="40"/>
            </w:pPr>
            <w:r>
              <w:rPr>
                <w:sz w:val="16"/>
              </w:rPr>
              <w:t xml:space="preserve">₹454,586.2cr</w:t>
            </w:r>
          </w:p>
        </w:tc>
      </w:tr>
      <w:tr>
        <w:tc>
          <w:tcPr/>
          <w:p>
            <w:pPr>
              <w:spacing w:after="40"/>
            </w:pPr>
            <w:r>
              <w:rPr>
                <w:sz w:val="16"/>
              </w:rPr>
              <w:t xml:space="preserve">Shares outstanding</w:t>
            </w:r>
          </w:p>
        </w:tc>
        <w:tc>
          <w:tcPr/>
          <w:p>
            <w:pPr>
              <w:spacing w:after="40"/>
            </w:pPr>
            <w:r>
              <w:rPr>
                <w:sz w:val="16"/>
              </w:rPr>
              <w:t xml:space="preserve">1,252.95cr</w:t>
            </w:r>
          </w:p>
        </w:tc>
      </w:tr>
      <w:tr>
        <w:tc>
          <w:tcPr/>
          <w:p>
            <w:pPr>
              <w:spacing w:after="40"/>
            </w:pPr>
            <w:r>
              <w:rPr>
                <w:sz w:val="16"/>
              </w:rPr>
              <w:t xml:space="preserve">Illustrative value/share</w:t>
            </w:r>
          </w:p>
        </w:tc>
        <w:tc>
          <w:tcPr/>
          <w:p>
            <w:pPr>
              <w:spacing w:after="40"/>
            </w:pPr>
            <w:r>
              <w:rPr>
                <w:sz w:val="16"/>
              </w:rPr>
              <w:t xml:space="preserve">₹362.8</w:t>
            </w:r>
          </w:p>
        </w:tc>
      </w:tr>
    </w:tbl>
    <w:p>
      <w:pPr>
        <w:spacing w:after="100"/>
      </w:pPr>
      <w:r>
        <w:rPr>
          <w:sz w:val="18"/>
        </w:rPr>
        <w:t xml:space="preserve"/>
      </w:r>
    </w:p>
    <w:p>
      <w:pPr>
        <w:spacing w:after="120"/>
      </w:pPr>
      <w:r>
        <w:rPr>
          <w:sz w:val="18"/>
        </w:rPr>
        <w:t xml:space="preserve">Central assumptions: 9.5% WACC, 4.5% terminal growth, 25% tax rate, D&amp;A at 1.9% of revenue, capex at 2.6%, and NWC / revenue declining from 18.7% in FY27E to 18.0% by FY31E.</w:t>
      </w:r>
    </w:p>
    <w:p>
      <w:pPr>
        <w:pStyle w:val="Heading1"/>
        <w:spacing w:after="100"/>
      </w:pPr>
      <w:r>
        <w:rPr>
          <w:b/>
          <w:sz w:val="24"/>
          <w:color w:val="0B1F33"/>
        </w:rPr>
        <w:t xml:space="preserve">Exploratory regression</w:t>
      </w:r>
    </w:p>
    <w:p>
      <w:pPr>
        <w:spacing w:after="120"/>
      </w:pPr>
      <w:r>
        <w:rPr>
          <w:sz w:val="18"/>
        </w:rPr>
        <w:t xml:space="preserve">The sample contains 64 supplied monthly ITC/NIFTY return observations from May 2021 to August 2026. RBI policy-rate changes use published dates; September 2026 is excluded because the report date falls within the month.</w:t>
      </w:r>
    </w:p>
    <w:tbl>
      <w:tblPr>
        <w:tblBorders>
          <w:top w:val="single" w:sz="2" w:color="B7C2CC"/>
          <w:left w:val="single" w:sz="2" w:color="B7C2CC"/>
          <w:bottom w:val="single" w:sz="2" w:color="B7C2CC"/>
          <w:right w:val="single" w:sz="2" w:color="B7C2CC"/>
          <w:insideH w:val="single" w:sz="2" w:color="D7DDE3"/>
          <w:insideV w:val="single" w:sz="2" w:color="D7DDE3"/>
        </w:tblBorders>
      </w:tblPr>
      <w:tr>
        <w:tc>
          <w:tcPr>
            <w:shd w:fill="D9EAF7"/>
          </w:tcPr>
          <w:p>
            <w:pPr>
              <w:spacing w:after="40"/>
            </w:pPr>
            <w:r>
              <w:rPr>
                <w:b/>
                <w:sz w:val="16"/>
              </w:rPr>
              <w:t xml:space="preserve">Term</w:t>
            </w:r>
          </w:p>
        </w:tc>
        <w:tc>
          <w:tcPr>
            <w:shd w:fill="D9EAF7"/>
          </w:tcPr>
          <w:p>
            <w:pPr>
              <w:spacing w:after="40"/>
            </w:pPr>
            <w:r>
              <w:rPr>
                <w:b/>
                <w:sz w:val="16"/>
              </w:rPr>
              <w:t xml:space="preserve">Coefficient</w:t>
            </w:r>
          </w:p>
        </w:tc>
        <w:tc>
          <w:tcPr>
            <w:shd w:fill="D9EAF7"/>
          </w:tcPr>
          <w:p>
            <w:pPr>
              <w:spacing w:after="40"/>
            </w:pPr>
            <w:r>
              <w:rPr>
                <w:b/>
                <w:sz w:val="16"/>
              </w:rPr>
              <w:t xml:space="preserve">HC1 SE</w:t>
            </w:r>
          </w:p>
        </w:tc>
        <w:tc>
          <w:tcPr>
            <w:shd w:fill="D9EAF7"/>
          </w:tcPr>
          <w:p>
            <w:pPr>
              <w:spacing w:after="40"/>
            </w:pPr>
            <w:r>
              <w:rPr>
                <w:b/>
                <w:sz w:val="16"/>
              </w:rPr>
              <w:t xml:space="preserve">p-value</w:t>
            </w:r>
          </w:p>
        </w:tc>
      </w:tr>
      <w:tr>
        <w:tc>
          <w:tcPr/>
          <w:p>
            <w:pPr>
              <w:spacing w:after="40"/>
            </w:pPr>
            <w:r>
              <w:rPr>
                <w:sz w:val="16"/>
              </w:rPr>
              <w:t xml:space="preserve">Intercept</w:t>
            </w:r>
          </w:p>
        </w:tc>
        <w:tc>
          <w:tcPr/>
          <w:p>
            <w:pPr>
              <w:spacing w:after="40"/>
            </w:pPr>
            <w:r>
              <w:rPr>
                <w:sz w:val="16"/>
              </w:rPr>
              <w:t xml:space="preserve">-0.000649</w:t>
            </w:r>
          </w:p>
        </w:tc>
        <w:tc>
          <w:tcPr/>
          <w:p>
            <w:pPr>
              <w:spacing w:after="40"/>
            </w:pPr>
            <w:r>
              <w:rPr>
                <w:sz w:val="16"/>
              </w:rPr>
              <w:t xml:space="preserve">0.006457</w:t>
            </w:r>
          </w:p>
        </w:tc>
        <w:tc>
          <w:tcPr/>
          <w:p>
            <w:pPr>
              <w:spacing w:after="40"/>
            </w:pPr>
            <w:r>
              <w:rPr>
                <w:sz w:val="16"/>
              </w:rPr>
              <w:t xml:space="preserve">0.919946</w:t>
            </w:r>
          </w:p>
        </w:tc>
      </w:tr>
      <w:tr>
        <w:tc>
          <w:tcPr/>
          <w:p>
            <w:pPr>
              <w:spacing w:after="40"/>
            </w:pPr>
            <w:r>
              <w:rPr>
                <w:sz w:val="16"/>
              </w:rPr>
              <w:t xml:space="preserve">Repo change</w:t>
            </w:r>
          </w:p>
        </w:tc>
        <w:tc>
          <w:tcPr/>
          <w:p>
            <w:pPr>
              <w:spacing w:after="40"/>
            </w:pPr>
            <w:r>
              <w:rPr>
                <w:sz w:val="16"/>
              </w:rPr>
              <w:t xml:space="preserve">0.112253</w:t>
            </w:r>
          </w:p>
        </w:tc>
        <w:tc>
          <w:tcPr/>
          <w:p>
            <w:pPr>
              <w:spacing w:after="40"/>
            </w:pPr>
            <w:r>
              <w:rPr>
                <w:sz w:val="16"/>
              </w:rPr>
              <w:t xml:space="preserve">0.026771</w:t>
            </w:r>
          </w:p>
        </w:tc>
        <w:tc>
          <w:tcPr/>
          <w:p>
            <w:pPr>
              <w:spacing w:after="40"/>
            </w:pPr>
            <w:r>
              <w:rPr>
                <w:sz w:val="16"/>
              </w:rPr>
              <w:t xml:space="preserve">0.0000275</w:t>
            </w:r>
          </w:p>
        </w:tc>
      </w:tr>
      <w:tr>
        <w:tc>
          <w:tcPr/>
          <w:p>
            <w:pPr>
              <w:spacing w:after="40"/>
            </w:pPr>
            <w:r>
              <w:rPr>
                <w:sz w:val="16"/>
              </w:rPr>
              <w:t xml:space="preserve">NIFTY return</w:t>
            </w:r>
          </w:p>
        </w:tc>
        <w:tc>
          <w:tcPr/>
          <w:p>
            <w:pPr>
              <w:spacing w:after="40"/>
            </w:pPr>
            <w:r>
              <w:rPr>
                <w:sz w:val="16"/>
              </w:rPr>
              <w:t xml:space="preserve">0.951274</w:t>
            </w:r>
          </w:p>
        </w:tc>
        <w:tc>
          <w:tcPr/>
          <w:p>
            <w:pPr>
              <w:spacing w:after="40"/>
            </w:pPr>
            <w:r>
              <w:rPr>
                <w:sz w:val="16"/>
              </w:rPr>
              <w:t xml:space="preserve">0.146506</w:t>
            </w:r>
          </w:p>
        </w:tc>
        <w:tc>
          <w:tcPr/>
          <w:p>
            <w:pPr>
              <w:spacing w:after="40"/>
            </w:pPr>
            <w:r>
              <w:rPr>
                <w:sz w:val="16"/>
              </w:rPr>
              <w:t xml:space="preserve">8.41e-11</w:t>
            </w:r>
          </w:p>
        </w:tc>
      </w:tr>
    </w:tbl>
    <w:p>
      <w:pPr>
        <w:spacing w:after="100"/>
      </w:pPr>
      <w:r>
        <w:rPr>
          <w:sz w:val="18"/>
        </w:rPr>
        <w:t xml:space="preserve"/>
      </w:r>
    </w:p>
    <w:p>
      <w:pPr>
        <w:spacing w:after="120"/>
      </w:pPr>
      <w:r>
        <w:rPr>
          <w:sz w:val="18"/>
        </w:rPr>
        <w:t xml:space="preserve">R² = 0.3682. The analysis is exploratory and does not establish causality. The supplied return observations are not independently certified because underlying price observations, corporate-action adjustments and extraction timestamps were not supplied.</w:t>
      </w:r>
    </w:p>
    <w:p>
      <w:pPr>
        <w:pStyle w:val="Heading1"/>
        <w:spacing w:after="100"/>
      </w:pPr>
      <w:r>
        <w:rPr>
          <w:b/>
          <w:sz w:val="24"/>
          <w:color w:val="0B1F33"/>
        </w:rPr>
        <w:t xml:space="preserve">Sources &amp; limitations</w:t>
      </w:r>
    </w:p>
    <w:p>
      <w:pPr>
        <w:spacing w:after="50"/>
      </w:pPr>
      <w:r>
        <w:rPr>
          <w:sz w:val="18"/>
        </w:rPr>
        <w:t xml:space="preserve">• ITC quarterly results: https://itcportal.com/investors/quarterly-results.html</w:t>
      </w:r>
    </w:p>
    <w:p>
      <w:pPr>
        <w:spacing w:after="50"/>
      </w:pPr>
      <w:r>
        <w:rPr>
          <w:sz w:val="18"/>
        </w:rPr>
        <w:t xml:space="preserve">• ITC Q1 FY27 media statement: https://itcportal.com/media-centre/press-releases/media-statement-financial-results-for-the-quarter-ended-30th-june-2026.html</w:t>
      </w:r>
    </w:p>
    <w:p>
      <w:pPr>
        <w:spacing w:after="50"/>
      </w:pPr>
      <w:r>
        <w:rPr>
          <w:sz w:val="18"/>
        </w:rPr>
        <w:t xml:space="preserve">• RBI policy statements: https://rbi.org.in/</w:t>
      </w:r>
    </w:p>
    <w:p>
      <w:pPr>
        <w:spacing w:after="50"/>
      </w:pPr>
      <w:r>
        <w:rPr>
          <w:sz w:val="18"/>
        </w:rPr>
        <w:t xml:space="preserve">• SOTP and forward-P/E cross-checks are omitted because dated peer multiples and a fully sourced forward earnings bridge were not available for independent validation.</w:t>
      </w:r>
    </w:p>
    <w:p>
      <w:pPr>
        <w:spacing w:after="0"/>
      </w:pPr>
      <w:r>
        <w:rPr>
          <w:sz w:val="14"/>
          <w:color w:val="5B6573"/>
        </w:rPr>
        <w:t xml:space="preserve">Independent research for portfolio / educational purposes - not investment advice.</w:t>
      </w:r>
    </w:p>
    <w:sectPr>
      <w:pgSz w:w="11906" w:h="16838"/>
      <w:pgMar w:top="720" w:right="720" w:bottom="720" w:left="720"/>
    </w:sectPr>
  </w:body>
</w:document>
</file>

<file path=word/styles.xml><?xml version="1.0" encoding="utf-8"?>
<w:styles xmlns:w="http://schemas.openxmlformats.org/wordprocessingml/2006/main">
  <w:style w:type="paragraph" w:default="1" w:styleId="Normal">
    <w:name w:val="Normal"/>
    <w:rPr>
      <w:rFonts w:ascii="Arial" w:hAnsi="Arial"/>
      <w:sz w:val="18"/>
    </w:rPr>
  </w:style>
  <w:style w:type="paragraph" w:styleId="Title">
    <w:name w:val="Title"/>
    <w:basedOn w:val="Normal"/>
  </w:style>
  <w:style w:type="paragraph" w:styleId="Heading1">
    <w:name w:val="heading 1"/>
    <w:basedOn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