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/>
      </w:pPr>
      <w:r>
        <w:rPr>
          <w:b/>
          <w:sz w:val="34"/>
          <w:color w:val="0B1F33"/>
        </w:rPr>
        <w:t xml:space="preserve">OCS / Mitie - M&amp;A Transaction Analysis</w:t>
      </w:r>
    </w:p>
    <w:p>
      <w:pPr>
        <w:spacing w:after="220"/>
      </w:pPr>
      <w:r>
        <w:rPr>
          <w:b/>
          <w:sz w:val="18"/>
          <w:color w:val="5B6573"/>
        </w:rPr>
        <w:t xml:space="preserve">September 2026 | Recommended acquisition announced 21 July 2026 | Ayush Chakraborty</w:t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Executive summary</w:t>
      </w:r>
    </w:p>
    <w:p>
      <w:pPr>
        <w:spacing w:after="120"/>
      </w:pPr>
      <w:r>
        <w:rPr>
          <w:sz w:val="18"/>
        </w:rPr>
        <w:t xml:space="preserve">OCS agreed a recommended cash acquisition of Mitie at 218.5p per share. Mitie shareholders may retain the FY26 final dividend of 3.1p, taking headline value to 221.6p per share. The headline value represents a 46.8% premium to the 151.0p unaffected close on 20 July 2026 and implies an approximate £3.1bn fully diluted equity value.</w:t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Verified transaction facts</w:t>
      </w:r>
    </w:p>
    <w:tbl>
      <w:tblPr>
        <w:tblBorders>
          <w:top w:val="single" w:sz="2" w:color="B7C2CC"/>
          <w:left w:val="single" w:sz="2" w:color="B7C2CC"/>
          <w:bottom w:val="single" w:sz="2" w:color="B7C2CC"/>
          <w:right w:val="single" w:sz="2" w:color="B7C2CC"/>
          <w:insideH w:val="single" w:sz="2" w:color="D7DDE3"/>
          <w:insideV w:val="single" w:sz="2" w:color="D7DDE3"/>
        </w:tblBorders>
      </w:tblPr>
      <w:tr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Item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Figure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Cash acquisition price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218.5p/share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Permitted FY26 final dividend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3.1p/share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Headline shareholder value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221.6p/share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Unaffected close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151.0p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Cash-price premium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44.7%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Headline premium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46.8%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Approx. fully diluted equity value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£3.1bn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Official combined revenue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~£8.5bn calendar-2025</w:t>
            </w:r>
          </w:p>
        </w:tc>
      </w:tr>
    </w:tbl>
    <w:p>
      <w:pPr>
        <w:spacing w:after="100"/>
      </w:pPr>
      <w:r>
        <w:rPr>
          <w:sz w:val="18"/>
        </w:rPr>
        <w:t xml:space="preserve"/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Operating reference</w:t>
      </w:r>
    </w:p>
    <w:tbl>
      <w:tblPr>
        <w:tblBorders>
          <w:top w:val="single" w:sz="2" w:color="B7C2CC"/>
          <w:left w:val="single" w:sz="2" w:color="B7C2CC"/>
          <w:bottom w:val="single" w:sz="2" w:color="B7C2CC"/>
          <w:right w:val="single" w:sz="2" w:color="B7C2CC"/>
          <w:insideH w:val="single" w:sz="2" w:color="D7DDE3"/>
          <w:insideV w:val="single" w:sz="2" w:color="D7DDE3"/>
        </w:tblBorders>
      </w:tblPr>
      <w:tr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Metric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OCS FY2025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Mitie FY2026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Revenue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£2,658.6m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£5,619m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Adjusted EBITDA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£191.6m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-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Operating profit before Other items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£135.2m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£264m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Operating cash flow / FCF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£163.9m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£162m</w:t>
            </w:r>
          </w:p>
        </w:tc>
      </w:tr>
    </w:tbl>
    <w:p>
      <w:pPr>
        <w:spacing w:after="100"/>
      </w:pPr>
      <w:r>
        <w:rPr>
          <w:sz w:val="18"/>
        </w:rPr>
        <w:t xml:space="preserve"/>
      </w:r>
    </w:p>
    <w:p>
      <w:pPr>
        <w:spacing w:after="120"/>
      </w:pPr>
      <w:r>
        <w:rPr>
          <w:sz w:val="18"/>
        </w:rPr>
        <w:t xml:space="preserve">The periods and profit measures are kept separate: Mitie operating profit is not presented as EBITDA, and the non-coterminous revenue figures are not used as the official combined-revenue measure.</w:t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Financing scenario</w:t>
      </w:r>
    </w:p>
    <w:p>
      <w:pPr>
        <w:spacing w:after="120"/>
      </w:pPr>
      <w:r>
        <w:rPr>
          <w:sz w:val="18"/>
        </w:rPr>
        <w:t xml:space="preserve">The offer materials disclose CD&amp;R equity and committed debt financing but do not provide enough public information to infer an exact sponsor ownership / rollover / debt perimeter. The model therefore uses an explicitly illustrative, balanced financing scenario. With £3.1bn of equity purchase value plus £125m illustrative integration cost, total uses are £3.225bn. A 50% debt-funded case implies £1.6125bn illustrative new debt and an equal sponsor-equity residual.</w:t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Synergy scenarios</w:t>
      </w:r>
    </w:p>
    <w:tbl>
      <w:tblPr>
        <w:tblBorders>
          <w:top w:val="single" w:sz="2" w:color="B7C2CC"/>
          <w:left w:val="single" w:sz="2" w:color="B7C2CC"/>
          <w:bottom w:val="single" w:sz="2" w:color="B7C2CC"/>
          <w:right w:val="single" w:sz="2" w:color="B7C2CC"/>
          <w:insideH w:val="single" w:sz="2" w:color="D7DDE3"/>
          <w:insideV w:val="single" w:sz="2" w:color="D7DDE3"/>
        </w:tblBorders>
      </w:tblPr>
      <w:tr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Scenario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Run-rate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Implementation cost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Y1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Y2</w:t>
            </w:r>
          </w:p>
        </w:tc>
        <w:tc>
          <w:tcPr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 xml:space="preserve">Y3+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Bear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£50m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1.50x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25%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65%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100%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Base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£100m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1.25x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25%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65%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100%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6"/>
              </w:rPr>
              <w:t xml:space="preserve">Bull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£150m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1.00x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25%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65%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 xml:space="preserve">100%</w:t>
            </w:r>
          </w:p>
        </w:tc>
      </w:tr>
    </w:tbl>
    <w:p>
      <w:pPr>
        <w:spacing w:after="100"/>
      </w:pPr>
      <w:r>
        <w:rPr>
          <w:sz w:val="18"/>
        </w:rPr>
        <w:t xml:space="preserve"/>
      </w:r>
    </w:p>
    <w:p>
      <w:pPr>
        <w:spacing w:after="120"/>
      </w:pPr>
      <w:r>
        <w:rPr>
          <w:sz w:val="18"/>
        </w:rPr>
        <w:t xml:space="preserve">These synergy values are modelling cases, not company guidance. Sponsor-return metrics are not presented because the public materials do not provide a fully reconciled sponsor-equity, ownership, rollover and debt perimeter.</w:t>
      </w:r>
    </w:p>
    <w:p>
      <w:pPr>
        <w:pStyle w:val="Heading1"/>
        <w:spacing w:after="100"/>
      </w:pPr>
      <w:r>
        <w:rPr>
          <w:b/>
          <w:sz w:val="24"/>
          <w:color w:val="0B1F33"/>
        </w:rPr>
        <w:t xml:space="preserve">Sources</w:t>
      </w:r>
    </w:p>
    <w:p>
      <w:pPr>
        <w:spacing w:after="50"/>
      </w:pPr>
      <w:r>
        <w:rPr>
          <w:sz w:val="18"/>
        </w:rPr>
        <w:t xml:space="preserve">• Mitie investor materials / Rule 2.7 offer: https://www.mitie.com/investors/</w:t>
      </w:r>
    </w:p>
    <w:p>
      <w:pPr>
        <w:spacing w:after="50"/>
      </w:pPr>
      <w:r>
        <w:rPr>
          <w:sz w:val="18"/>
        </w:rPr>
        <w:t xml:space="preserve">• Mitie Annual Report 2026: https://www.mitie.com/investors/reports-and-presentations/annual-report-2026/</w:t>
      </w:r>
    </w:p>
    <w:p>
      <w:pPr>
        <w:spacing w:after="50"/>
      </w:pPr>
      <w:r>
        <w:rPr>
          <w:sz w:val="18"/>
        </w:rPr>
        <w:t xml:space="preserve">• OCS Group Topco Annual Report 2025: https://ocs.com/app/uploads/2026/06/OCS_Group_Topco_FS_31.12.25.pdf</w:t>
      </w:r>
    </w:p>
    <w:p>
      <w:pPr>
        <w:spacing w:after="0"/>
      </w:pPr>
      <w:r>
        <w:rPr>
          <w:sz w:val="14"/>
          <w:color w:val="5B6573"/>
        </w:rPr>
        <w:t xml:space="preserve">Independent research for portfolio / educational purposes - not investment advice.</w:t>
      </w:r>
    </w:p>
    <w:sectPr>
      <w:pgSz w:w="11906" w:h="16838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8"/>
    </w:rPr>
  </w:style>
  <w:style w:type="paragraph" w:styleId="Title">
    <w:name w:val="Title"/>
    <w:basedOn w:val="Normal"/>
  </w:style>
  <w:style w:type="paragraph" w:styleId="Heading1">
    <w:name w:val="heading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