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00"/>
      </w:pPr>
      <w:r>
        <w:rPr>
          <w:b/>
          <w:sz w:val="34"/>
          <w:color w:val="0B1F33"/>
        </w:rPr>
        <w:t xml:space="preserve">Thames Water - Restructuring &amp; Recapitalisation Analysis</w:t>
      </w:r>
    </w:p>
    <w:p>
      <w:pPr>
        <w:spacing w:after="220"/>
      </w:pPr>
      <w:r>
        <w:rPr>
          <w:b/>
          <w:sz w:val="18"/>
          <w:color w:val="5B6573"/>
        </w:rPr>
        <w:t xml:space="preserve">September 2026 | L&amp;VW proposal announced 16 March 2026 | Ayush Chakraborty</w:t>
      </w:r>
    </w:p>
    <w:p>
      <w:pPr>
        <w:pStyle w:val="Heading1"/>
        <w:spacing w:after="100"/>
      </w:pPr>
      <w:r>
        <w:rPr>
          <w:b/>
          <w:sz w:val="24"/>
          <w:color w:val="0B1F33"/>
        </w:rPr>
        <w:t xml:space="preserve">Executive summary</w:t>
      </w:r>
    </w:p>
    <w:p>
      <w:pPr>
        <w:spacing w:after="120"/>
      </w:pPr>
      <w:r>
        <w:rPr>
          <w:sz w:val="18"/>
        </w:rPr>
        <w:t xml:space="preserve">The London &amp; Valley Water proposal announced on 16 March 2026 contemplated £3.35bn of new equity and up to £6.55bn of new debt, comprising £3.25bn of new day-one debt and up to £3.30bn of committed undrawn debt. It proposed a 30% write-off of Class A debt, full impairment of Class B debt and subordinated debt / existing equity, and 52% day-one net leverage.</w:t>
      </w:r>
    </w:p>
    <w:p>
      <w:pPr>
        <w:pStyle w:val="Heading1"/>
        <w:spacing w:after="100"/>
      </w:pPr>
      <w:r>
        <w:rPr>
          <w:b/>
          <w:sz w:val="24"/>
          <w:color w:val="0B1F33"/>
        </w:rPr>
        <w:t xml:space="preserve">Reported pre-restructuring position</w:t>
      </w:r>
    </w:p>
    <w:tbl>
      <w:tblPr>
        <w:tblBorders>
          <w:top w:val="single" w:sz="2" w:color="B7C2CC"/>
          <w:left w:val="single" w:sz="2" w:color="B7C2CC"/>
          <w:bottom w:val="single" w:sz="2" w:color="B7C2CC"/>
          <w:right w:val="single" w:sz="2" w:color="B7C2CC"/>
          <w:insideH w:val="single" w:sz="2" w:color="D7DDE3"/>
          <w:insideV w:val="single" w:sz="2" w:color="D7DDE3"/>
        </w:tblBorders>
      </w:tblPr>
      <w:tr>
        <w:tc>
          <w:tcPr>
            <w:shd w:fill="D9EAF7"/>
          </w:tcPr>
          <w:p>
            <w:pPr>
              <w:spacing w:after="40"/>
            </w:pPr>
            <w:r>
              <w:rPr>
                <w:b/>
                <w:sz w:val="16"/>
              </w:rPr>
              <w:t xml:space="preserve">Metric</w:t>
            </w:r>
          </w:p>
        </w:tc>
        <w:tc>
          <w:tcPr>
            <w:shd w:fill="D9EAF7"/>
          </w:tcPr>
          <w:p>
            <w:pPr>
              <w:spacing w:after="40"/>
            </w:pPr>
            <w:r>
              <w:rPr>
                <w:b/>
                <w:sz w:val="16"/>
              </w:rPr>
              <w:t xml:space="preserve">30 Sep 2025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Statutory net debt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£17,626.9m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Covenant net debt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£19,337m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Covenant net debt net of TWSSI cash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£18,798m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Regulatory Capital Value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£21,893m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Senior gearing net of TWSSI cash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85.9%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Liquidity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£861.7m</w:t>
            </w:r>
          </w:p>
        </w:tc>
      </w:tr>
    </w:tbl>
    <w:p>
      <w:pPr>
        <w:spacing w:after="100"/>
      </w:pPr>
      <w:r>
        <w:rPr>
          <w:sz w:val="18"/>
        </w:rPr>
        <w:t xml:space="preserve"/>
      </w:r>
    </w:p>
    <w:p>
      <w:pPr>
        <w:pStyle w:val="Heading1"/>
        <w:spacing w:after="100"/>
      </w:pPr>
      <w:r>
        <w:rPr>
          <w:b/>
          <w:sz w:val="24"/>
          <w:color w:val="0B1F33"/>
        </w:rPr>
        <w:t xml:space="preserve">Proposal terms</w:t>
      </w:r>
    </w:p>
    <w:tbl>
      <w:tblPr>
        <w:tblBorders>
          <w:top w:val="single" w:sz="2" w:color="B7C2CC"/>
          <w:left w:val="single" w:sz="2" w:color="B7C2CC"/>
          <w:bottom w:val="single" w:sz="2" w:color="B7C2CC"/>
          <w:right w:val="single" w:sz="2" w:color="B7C2CC"/>
          <w:insideH w:val="single" w:sz="2" w:color="D7DDE3"/>
          <w:insideV w:val="single" w:sz="2" w:color="D7DDE3"/>
        </w:tblBorders>
      </w:tblPr>
      <w:tr>
        <w:tc>
          <w:tcPr>
            <w:shd w:fill="D9EAF7"/>
          </w:tcPr>
          <w:p>
            <w:pPr>
              <w:spacing w:after="40"/>
            </w:pPr>
            <w:r>
              <w:rPr>
                <w:b/>
                <w:sz w:val="16"/>
              </w:rPr>
              <w:t xml:space="preserve">Term</w:t>
            </w:r>
          </w:p>
        </w:tc>
        <w:tc>
          <w:tcPr>
            <w:shd w:fill="D9EAF7"/>
          </w:tcPr>
          <w:p>
            <w:pPr>
              <w:spacing w:after="40"/>
            </w:pPr>
            <w:r>
              <w:rPr>
                <w:b/>
                <w:sz w:val="16"/>
              </w:rPr>
              <w:t xml:space="preserve">Proposal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New equity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£3.35bn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New day-one debt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£3.25bn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Committed undrawn debt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Up to £3.30bn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Total potential new debt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Up to £6.55bn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Class A principal write-off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Class B / subordinated / existing equity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Full write-off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Day-one net leverage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52%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End-AMP leverage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c.60%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Long-term net gearing target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≤65%</w:t>
            </w:r>
          </w:p>
        </w:tc>
      </w:tr>
    </w:tbl>
    <w:p>
      <w:pPr>
        <w:spacing w:after="100"/>
      </w:pPr>
      <w:r>
        <w:rPr>
          <w:sz w:val="18"/>
        </w:rPr>
        <w:t xml:space="preserve"/>
      </w:r>
    </w:p>
    <w:p>
      <w:pPr>
        <w:pStyle w:val="Heading1"/>
        <w:spacing w:after="100"/>
      </w:pPr>
      <w:r>
        <w:rPr>
          <w:b/>
          <w:sz w:val="24"/>
          <w:color w:val="0B1F33"/>
        </w:rPr>
        <w:t xml:space="preserve">RCV / debt-capacity scenario</w:t>
      </w:r>
    </w:p>
    <w:p>
      <w:pPr>
        <w:spacing w:after="120"/>
      </w:pPr>
      <w:r>
        <w:rPr>
          <w:sz w:val="18"/>
        </w:rPr>
        <w:t xml:space="preserve">Using reported £21.893bn RCV, 5% annual RCV growth for four periods and a 60% FY30 gearing assumption produces an illustrative FY30 debt-capacity envelope of approximately £15.97bn. This is a debt-capacity scenario, not an integrated forecast of actual post-restructuring debt.</w:t>
      </w:r>
    </w:p>
    <w:tbl>
      <w:tblPr>
        <w:tblBorders>
          <w:top w:val="single" w:sz="2" w:color="B7C2CC"/>
          <w:left w:val="single" w:sz="2" w:color="B7C2CC"/>
          <w:bottom w:val="single" w:sz="2" w:color="B7C2CC"/>
          <w:right w:val="single" w:sz="2" w:color="B7C2CC"/>
          <w:insideH w:val="single" w:sz="2" w:color="D7DDE3"/>
          <w:insideV w:val="single" w:sz="2" w:color="D7DDE3"/>
        </w:tblBorders>
      </w:tblPr>
      <w:tr>
        <w:tc>
          <w:tcPr>
            <w:shd w:fill="D9EAF7"/>
          </w:tcPr>
          <w:p>
            <w:pPr>
              <w:spacing w:after="40"/>
            </w:pPr>
            <w:r>
              <w:rPr>
                <w:b/>
                <w:sz w:val="16"/>
              </w:rPr>
              <w:t xml:space="preserve">Period</w:t>
            </w:r>
          </w:p>
        </w:tc>
        <w:tc>
          <w:tcPr>
            <w:shd w:fill="D9EAF7"/>
          </w:tcPr>
          <w:p>
            <w:pPr>
              <w:spacing w:after="40"/>
            </w:pPr>
            <w:r>
              <w:rPr>
                <w:b/>
                <w:sz w:val="16"/>
              </w:rPr>
              <w:t xml:space="preserve">Illustrative RCV</w:t>
            </w:r>
          </w:p>
        </w:tc>
        <w:tc>
          <w:tcPr>
            <w:shd w:fill="D9EAF7"/>
          </w:tcPr>
          <w:p>
            <w:pPr>
              <w:spacing w:after="40"/>
            </w:pPr>
            <w:r>
              <w:rPr>
                <w:b/>
                <w:sz w:val="16"/>
              </w:rPr>
              <w:t xml:space="preserve">Target gearing</w:t>
            </w:r>
          </w:p>
        </w:tc>
        <w:tc>
          <w:tcPr>
            <w:shd w:fill="D9EAF7"/>
          </w:tcPr>
          <w:p>
            <w:pPr>
              <w:spacing w:after="40"/>
            </w:pPr>
            <w:r>
              <w:rPr>
                <w:b/>
                <w:sz w:val="16"/>
              </w:rPr>
              <w:t xml:space="preserve">Debt capacity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FY27E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£22.988bn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54%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£12.413bn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FY28E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£24.137bn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56%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£13.517bn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FY29E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£25.344bn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58%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£14.699bn</w:t>
            </w:r>
          </w:p>
        </w:tc>
      </w:tr>
      <w:tr>
        <w:tc>
          <w:tcPr/>
          <w:p>
            <w:pPr>
              <w:spacing w:after="40"/>
            </w:pPr>
            <w:r>
              <w:rPr>
                <w:sz w:val="16"/>
              </w:rPr>
              <w:t xml:space="preserve">FY30E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£26.611bn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60%</w:t>
            </w:r>
          </w:p>
        </w:tc>
        <w:tc>
          <w:tcPr/>
          <w:p>
            <w:pPr>
              <w:spacing w:after="40"/>
            </w:pPr>
            <w:r>
              <w:rPr>
                <w:sz w:val="16"/>
              </w:rPr>
              <w:t xml:space="preserve">£15.967bn</w:t>
            </w:r>
          </w:p>
        </w:tc>
      </w:tr>
    </w:tbl>
    <w:p>
      <w:pPr>
        <w:spacing w:after="100"/>
      </w:pPr>
      <w:r>
        <w:rPr>
          <w:sz w:val="18"/>
        </w:rPr>
        <w:t xml:space="preserve"/>
      </w:r>
    </w:p>
    <w:p>
      <w:pPr>
        <w:pStyle w:val="Heading1"/>
        <w:spacing w:after="100"/>
      </w:pPr>
      <w:r>
        <w:rPr>
          <w:b/>
          <w:sz w:val="24"/>
          <w:color w:val="0B1F33"/>
        </w:rPr>
        <w:t xml:space="preserve">Nominal versus economic recovery</w:t>
      </w:r>
    </w:p>
    <w:p>
      <w:pPr>
        <w:spacing w:after="120"/>
      </w:pPr>
      <w:r>
        <w:rPr>
          <w:sz w:val="18"/>
        </w:rPr>
        <w:t xml:space="preserve">A 30% Class A write-off means 70% of principal is nominally retained, but economic recovery also depends on coupon, maturity and required discount rate. In the model’s illustrative £15bn claim / 6% coupon / 10-year maturity / 8% discount-rate case, economic value is £9.09bn, or 60.6% of the original claim.</w:t>
      </w:r>
    </w:p>
    <w:p>
      <w:pPr>
        <w:pStyle w:val="Heading1"/>
        <w:spacing w:after="100"/>
      </w:pPr>
      <w:r>
        <w:rPr>
          <w:b/>
          <w:sz w:val="24"/>
          <w:color w:val="0B1F33"/>
        </w:rPr>
        <w:t xml:space="preserve">Creditor-priority framing</w:t>
      </w:r>
    </w:p>
    <w:p>
      <w:pPr>
        <w:spacing w:after="120"/>
      </w:pPr>
      <w:r>
        <w:rPr>
          <w:sz w:val="18"/>
        </w:rPr>
        <w:t xml:space="preserve">Junior claims should not retain value while senior claims remain impaired, subject to the actual restructuring terms.</w:t>
      </w:r>
    </w:p>
    <w:p>
      <w:pPr>
        <w:pStyle w:val="Heading1"/>
        <w:spacing w:after="100"/>
      </w:pPr>
      <w:r>
        <w:rPr>
          <w:b/>
          <w:sz w:val="24"/>
          <w:color w:val="0B1F33"/>
        </w:rPr>
        <w:t xml:space="preserve">Sources</w:t>
      </w:r>
    </w:p>
    <w:p>
      <w:pPr>
        <w:spacing w:after="50"/>
      </w:pPr>
      <w:r>
        <w:rPr>
          <w:sz w:val="18"/>
        </w:rPr>
        <w:t xml:space="preserve">• Thames Water recapitalisation update, 16 March 2026: https://www.thameswater.co.uk/news/2026/mar/recapitalisation-update-press-speculation-on-london-valley-water-s-proposal</w:t>
      </w:r>
    </w:p>
    <w:p>
      <w:pPr>
        <w:spacing w:after="50"/>
      </w:pPr>
      <w:r>
        <w:rPr>
          <w:sz w:val="18"/>
        </w:rPr>
        <w:t xml:space="preserve">• Thames Water 2025/26 half-year results: https://www.thameswater.co.uk/news/2025/dec/thames-water-half-year-results-202526</w:t>
      </w:r>
    </w:p>
    <w:p>
      <w:pPr>
        <w:spacing w:after="0"/>
      </w:pPr>
      <w:r>
        <w:rPr>
          <w:sz w:val="14"/>
          <w:color w:val="5B6573"/>
        </w:rPr>
        <w:t xml:space="preserve">Independent research for portfolio / educational purposes - not investment advice.</w:t>
      </w:r>
    </w:p>
    <w:sectPr>
      <w:pgSz w:w="11906" w:h="16838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18"/>
    </w:rPr>
  </w:style>
  <w:style w:type="paragraph" w:styleId="Title">
    <w:name w:val="Title"/>
    <w:basedOn w:val="Normal"/>
  </w:style>
  <w:style w:type="paragraph" w:styleId="Heading1">
    <w:name w:val="heading 1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