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34111" w14:textId="77777777" w:rsidR="007C460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AYUSH CHAKRABORTY</w:t>
      </w:r>
    </w:p>
    <w:p w14:paraId="7783FFDD" w14:textId="3ECCDB73" w:rsidR="007C460B" w:rsidRDefault="00000000">
      <w:pPr>
        <w:pBdr>
          <w:bottom w:val="single" w:sz="6" w:space="4" w:color="1F3864"/>
        </w:pBdr>
        <w:spacing w:after="160"/>
        <w:jc w:val="center"/>
      </w:pPr>
      <w:r>
        <w:rPr>
          <w:rFonts w:ascii="Calibri" w:eastAsia="Calibri" w:hAnsi="Calibri" w:cs="Calibri"/>
          <w:color w:val="222222"/>
          <w:sz w:val="18"/>
          <w:szCs w:val="18"/>
        </w:rPr>
        <w:t xml:space="preserve">Van Mildert College, Durham University, Durham, UK | +44 7939 361983 | </w:t>
      </w:r>
      <w:hyperlink r:id="rId5" w:history="1">
        <w:r w:rsidR="006A60B5" w:rsidRPr="006F1A79">
          <w:rPr>
            <w:rStyle w:val="Hyperlink"/>
            <w:rFonts w:ascii="Calibri" w:eastAsia="Calibri" w:hAnsi="Calibri" w:cs="Calibri"/>
            <w:sz w:val="18"/>
            <w:szCs w:val="18"/>
          </w:rPr>
          <w:t>ayush.n.chakraborty@gmail.com</w:t>
        </w:r>
      </w:hyperlink>
      <w:r w:rsidR="006A60B5">
        <w:rPr>
          <w:rFonts w:ascii="Calibri" w:eastAsia="Calibri" w:hAnsi="Calibri" w:cs="Calibri"/>
          <w:color w:val="222222"/>
          <w:sz w:val="18"/>
          <w:szCs w:val="18"/>
        </w:rPr>
        <w:t xml:space="preserve"> </w:t>
      </w:r>
      <w:r>
        <w:rPr>
          <w:rFonts w:ascii="Calibri" w:eastAsia="Calibri" w:hAnsi="Calibri" w:cs="Calibri"/>
          <w:color w:val="222222"/>
          <w:sz w:val="18"/>
          <w:szCs w:val="18"/>
        </w:rPr>
        <w:t xml:space="preserve">| </w:t>
      </w:r>
      <w:hyperlink r:id="rId6" w:history="1">
        <w:r w:rsidR="007C460B" w:rsidRPr="006A60B5">
          <w:rPr>
            <w:rStyle w:val="Hyperlink"/>
            <w:rFonts w:ascii="Calibri" w:eastAsia="Calibri" w:hAnsi="Calibri" w:cs="Calibri"/>
            <w:sz w:val="18"/>
            <w:szCs w:val="18"/>
          </w:rPr>
          <w:t>LinkedIn</w:t>
        </w:r>
      </w:hyperlink>
      <w:r w:rsidR="00014333">
        <w:t xml:space="preserve"> </w:t>
      </w:r>
      <w:r w:rsidR="00014333">
        <w:rPr>
          <w:rFonts w:ascii="Calibri" w:eastAsia="Calibri" w:hAnsi="Calibri" w:cs="Calibri"/>
          <w:color w:val="222222"/>
          <w:sz w:val="18"/>
          <w:szCs w:val="18"/>
        </w:rPr>
        <w:t>|</w:t>
      </w:r>
      <w:r w:rsidR="00014333">
        <w:rPr>
          <w:rFonts w:ascii="Calibri" w:eastAsia="Calibri" w:hAnsi="Calibri" w:cs="Calibri"/>
          <w:color w:val="222222"/>
          <w:sz w:val="18"/>
          <w:szCs w:val="18"/>
        </w:rPr>
        <w:t xml:space="preserve"> </w:t>
      </w:r>
      <w:r w:rsidR="00014333">
        <w:rPr>
          <w:rFonts w:ascii="Calibri" w:eastAsia="Calibri" w:hAnsi="Calibri" w:cs="Calibri"/>
          <w:color w:val="222222"/>
          <w:sz w:val="18"/>
          <w:szCs w:val="18"/>
        </w:rPr>
        <w:fldChar w:fldCharType="begin"/>
      </w:r>
      <w:r w:rsidR="00014333">
        <w:rPr>
          <w:rFonts w:ascii="Calibri" w:eastAsia="Calibri" w:hAnsi="Calibri" w:cs="Calibri"/>
          <w:color w:val="222222"/>
          <w:sz w:val="18"/>
          <w:szCs w:val="18"/>
        </w:rPr>
        <w:instrText>HYPERLINK "http://ayushchakraborty.com/"</w:instrText>
      </w:r>
      <w:r w:rsidR="00014333">
        <w:rPr>
          <w:rFonts w:ascii="Calibri" w:eastAsia="Calibri" w:hAnsi="Calibri" w:cs="Calibri"/>
          <w:color w:val="222222"/>
          <w:sz w:val="18"/>
          <w:szCs w:val="18"/>
        </w:rPr>
      </w:r>
      <w:r w:rsidR="00014333">
        <w:rPr>
          <w:rFonts w:ascii="Calibri" w:eastAsia="Calibri" w:hAnsi="Calibri" w:cs="Calibri"/>
          <w:color w:val="222222"/>
          <w:sz w:val="18"/>
          <w:szCs w:val="18"/>
        </w:rPr>
        <w:fldChar w:fldCharType="separate"/>
      </w:r>
      <w:r w:rsidR="00014333" w:rsidRPr="00014333">
        <w:rPr>
          <w:rStyle w:val="Hyperlink"/>
          <w:rFonts w:ascii="Calibri" w:eastAsia="Calibri" w:hAnsi="Calibri" w:cs="Calibri"/>
          <w:sz w:val="18"/>
          <w:szCs w:val="18"/>
        </w:rPr>
        <w:t>Portfolio</w:t>
      </w:r>
      <w:r w:rsidR="00014333">
        <w:rPr>
          <w:rFonts w:ascii="Calibri" w:eastAsia="Calibri" w:hAnsi="Calibri" w:cs="Calibri"/>
          <w:color w:val="222222"/>
          <w:sz w:val="18"/>
          <w:szCs w:val="18"/>
        </w:rPr>
        <w:fldChar w:fldCharType="end"/>
      </w:r>
    </w:p>
    <w:p w14:paraId="5F237F9B" w14:textId="77777777" w:rsidR="007C460B" w:rsidRDefault="00000000">
      <w:pPr>
        <w:pBdr>
          <w:bottom w:val="single" w:sz="4" w:space="1" w:color="1F3864"/>
        </w:pBdr>
        <w:spacing w:before="200" w:after="8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EDUCATION</w:t>
      </w:r>
    </w:p>
    <w:p w14:paraId="6FE34229" w14:textId="77777777" w:rsidR="007C460B" w:rsidRDefault="00000000">
      <w:pPr>
        <w:tabs>
          <w:tab w:val="right" w:pos="9360"/>
        </w:tabs>
      </w:pPr>
      <w:r>
        <w:rPr>
          <w:rFonts w:ascii="Calibri" w:eastAsia="Calibri" w:hAnsi="Calibri" w:cs="Calibri"/>
          <w:b/>
          <w:bCs/>
          <w:color w:val="222222"/>
        </w:rPr>
        <w:t>Durham University — Van Mildert College</w:t>
      </w:r>
      <w:r>
        <w:rPr>
          <w:rFonts w:ascii="Calibri" w:eastAsia="Calibri" w:hAnsi="Calibri" w:cs="Calibri"/>
          <w:color w:val="222222"/>
        </w:rPr>
        <w:tab/>
        <w:t>Durham, UK</w:t>
      </w:r>
    </w:p>
    <w:p w14:paraId="7C6E0B76" w14:textId="77777777" w:rsidR="007C460B" w:rsidRDefault="00000000">
      <w:pPr>
        <w:tabs>
          <w:tab w:val="right" w:pos="9360"/>
        </w:tabs>
        <w:spacing w:after="60"/>
      </w:pPr>
      <w:r>
        <w:rPr>
          <w:rFonts w:ascii="Calibri" w:eastAsia="Calibri" w:hAnsi="Calibri" w:cs="Calibri"/>
          <w:i/>
          <w:iCs/>
          <w:color w:val="222222"/>
          <w:sz w:val="19"/>
          <w:szCs w:val="19"/>
        </w:rPr>
        <w:t>BSc Economics, FY: 2:1 | 2025 – Present | Expected Graduation: July 2028 (Penultimate Year 2026–27)</w:t>
      </w:r>
      <w:r>
        <w:rPr>
          <w:rFonts w:ascii="Calibri" w:eastAsia="Calibri" w:hAnsi="Calibri" w:cs="Calibri"/>
          <w:i/>
          <w:iCs/>
          <w:color w:val="222222"/>
          <w:sz w:val="19"/>
          <w:szCs w:val="19"/>
        </w:rPr>
        <w:tab/>
      </w:r>
    </w:p>
    <w:p w14:paraId="24BAB5B7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color w:val="222222"/>
          <w:sz w:val="19"/>
          <w:szCs w:val="19"/>
        </w:rPr>
        <w:t>Relevant Coursework: Global Financial System and Markets, Econometrics, Banking, Mastering Data and Computation (Excel, R), Microeconomics, Macroeconomics</w:t>
      </w:r>
    </w:p>
    <w:p w14:paraId="29D9ED19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color w:val="222222"/>
          <w:sz w:val="19"/>
          <w:szCs w:val="19"/>
        </w:rPr>
        <w:t>Involvement: Active Member, Economics/Finance Societies, and International Student Association — collaborating with a multinational peer group on campus events and cross-cultural programming</w:t>
      </w:r>
    </w:p>
    <w:p w14:paraId="286993BA" w14:textId="77777777" w:rsidR="007C460B" w:rsidRDefault="00000000">
      <w:pPr>
        <w:tabs>
          <w:tab w:val="right" w:pos="9360"/>
        </w:tabs>
      </w:pPr>
      <w:r>
        <w:rPr>
          <w:rFonts w:ascii="Calibri" w:eastAsia="Calibri" w:hAnsi="Calibri" w:cs="Calibri"/>
          <w:b/>
          <w:bCs/>
          <w:color w:val="222222"/>
        </w:rPr>
        <w:t>United World College of South East Asia (UWCSEA)</w:t>
      </w:r>
      <w:r>
        <w:rPr>
          <w:rFonts w:ascii="Calibri" w:eastAsia="Calibri" w:hAnsi="Calibri" w:cs="Calibri"/>
          <w:color w:val="222222"/>
        </w:rPr>
        <w:tab/>
        <w:t>Singapore</w:t>
      </w:r>
    </w:p>
    <w:p w14:paraId="75551086" w14:textId="77777777" w:rsidR="007C460B" w:rsidRDefault="00000000">
      <w:pPr>
        <w:tabs>
          <w:tab w:val="right" w:pos="9360"/>
        </w:tabs>
        <w:spacing w:after="60"/>
      </w:pPr>
      <w:r>
        <w:rPr>
          <w:rFonts w:ascii="Calibri" w:eastAsia="Calibri" w:hAnsi="Calibri" w:cs="Calibri"/>
          <w:i/>
          <w:iCs/>
          <w:color w:val="222222"/>
          <w:sz w:val="19"/>
          <w:szCs w:val="19"/>
        </w:rPr>
        <w:t>International Baccalaureate (IB) Diploma | 2021 – 2025</w:t>
      </w:r>
      <w:r>
        <w:rPr>
          <w:rFonts w:ascii="Calibri" w:eastAsia="Calibri" w:hAnsi="Calibri" w:cs="Calibri"/>
          <w:i/>
          <w:iCs/>
          <w:color w:val="222222"/>
          <w:sz w:val="19"/>
          <w:szCs w:val="19"/>
        </w:rPr>
        <w:tab/>
      </w:r>
    </w:p>
    <w:p w14:paraId="5B67C93B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color w:val="222222"/>
          <w:sz w:val="19"/>
          <w:szCs w:val="19"/>
        </w:rPr>
        <w:t>Higher Level Focus: Economics, Mathematics (Analysis &amp; Approaches), Computer Science — studied within a global student body representing 90+ nationalities</w:t>
      </w:r>
    </w:p>
    <w:p w14:paraId="379FD37F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color w:val="222222"/>
          <w:sz w:val="19"/>
          <w:szCs w:val="19"/>
        </w:rPr>
        <w:t>IGCSE: Economics (A*), Mathematics (A)</w:t>
      </w:r>
    </w:p>
    <w:p w14:paraId="09817AAB" w14:textId="77777777" w:rsidR="007C460B" w:rsidRDefault="00000000">
      <w:pPr>
        <w:pBdr>
          <w:bottom w:val="single" w:sz="4" w:space="1" w:color="1F3864"/>
        </w:pBdr>
        <w:spacing w:before="200" w:after="8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PROFESSIONAL &amp; FINANCIAL EXPERIENCE</w:t>
      </w:r>
    </w:p>
    <w:p w14:paraId="474BA931" w14:textId="77777777" w:rsidR="007C460B" w:rsidRDefault="00000000">
      <w:pPr>
        <w:tabs>
          <w:tab w:val="right" w:pos="9360"/>
        </w:tabs>
      </w:pPr>
      <w:r>
        <w:rPr>
          <w:rFonts w:ascii="Calibri" w:eastAsia="Calibri" w:hAnsi="Calibri" w:cs="Calibri"/>
          <w:b/>
          <w:bCs/>
          <w:color w:val="222222"/>
        </w:rPr>
        <w:t>SMIFS Limited — Research Department</w:t>
      </w:r>
      <w:r>
        <w:rPr>
          <w:rFonts w:ascii="Calibri" w:eastAsia="Calibri" w:hAnsi="Calibri" w:cs="Calibri"/>
          <w:color w:val="222222"/>
        </w:rPr>
        <w:tab/>
        <w:t>Kolkata, India</w:t>
      </w:r>
    </w:p>
    <w:p w14:paraId="3CA6AA0C" w14:textId="77777777" w:rsidR="007C460B" w:rsidRDefault="00000000">
      <w:pPr>
        <w:tabs>
          <w:tab w:val="right" w:pos="9360"/>
        </w:tabs>
        <w:spacing w:after="60"/>
      </w:pPr>
      <w:r>
        <w:rPr>
          <w:rFonts w:ascii="Calibri" w:eastAsia="Calibri" w:hAnsi="Calibri" w:cs="Calibri"/>
          <w:i/>
          <w:iCs/>
          <w:color w:val="222222"/>
          <w:sz w:val="19"/>
          <w:szCs w:val="19"/>
        </w:rPr>
        <w:t>Macroeconomic &amp; Equity Research Analyst Intern | July 2024</w:t>
      </w:r>
      <w:r>
        <w:rPr>
          <w:rFonts w:ascii="Calibri" w:eastAsia="Calibri" w:hAnsi="Calibri" w:cs="Calibri"/>
          <w:i/>
          <w:iCs/>
          <w:color w:val="222222"/>
          <w:sz w:val="19"/>
          <w:szCs w:val="19"/>
        </w:rPr>
        <w:tab/>
      </w:r>
    </w:p>
    <w:p w14:paraId="60D661C1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color w:val="222222"/>
          <w:sz w:val="19"/>
          <w:szCs w:val="19"/>
        </w:rPr>
        <w:t>Shadowed and directly supported the Research Department's lead analyst, drafting content for 3 institutional research notes and presentation decks on India's CPI/WPI inflation, trade balance, and RBI monetary policy shifts, prepared for internal and external use</w:t>
      </w:r>
    </w:p>
    <w:p w14:paraId="1B710953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color w:val="222222"/>
          <w:sz w:val="19"/>
          <w:szCs w:val="19"/>
        </w:rPr>
        <w:t>Partnered with senior analysts to build comparable company and precedent transaction screens across multiple policy scenarios, revising and organizing financial data into a repeatable framework used in client-facing output</w:t>
      </w:r>
    </w:p>
    <w:p w14:paraId="5A7F7152" w14:textId="77777777" w:rsidR="007C460B" w:rsidRDefault="00000000">
      <w:pPr>
        <w:tabs>
          <w:tab w:val="right" w:pos="9360"/>
        </w:tabs>
      </w:pPr>
      <w:r>
        <w:rPr>
          <w:rFonts w:ascii="Calibri" w:eastAsia="Calibri" w:hAnsi="Calibri" w:cs="Calibri"/>
          <w:b/>
          <w:bCs/>
          <w:color w:val="222222"/>
        </w:rPr>
        <w:t>Independent Equity Research Project — ITC Limited</w:t>
      </w:r>
      <w:r>
        <w:rPr>
          <w:rFonts w:ascii="Calibri" w:eastAsia="Calibri" w:hAnsi="Calibri" w:cs="Calibri"/>
          <w:color w:val="222222"/>
        </w:rPr>
        <w:tab/>
        <w:t>Durham, UK</w:t>
      </w:r>
    </w:p>
    <w:p w14:paraId="662B2B28" w14:textId="77777777" w:rsidR="007C460B" w:rsidRDefault="00000000">
      <w:pPr>
        <w:tabs>
          <w:tab w:val="right" w:pos="9360"/>
        </w:tabs>
        <w:spacing w:after="60"/>
      </w:pPr>
      <w:r>
        <w:rPr>
          <w:rFonts w:ascii="Calibri" w:eastAsia="Calibri" w:hAnsi="Calibri" w:cs="Calibri"/>
          <w:i/>
          <w:iCs/>
          <w:color w:val="222222"/>
          <w:sz w:val="19"/>
          <w:szCs w:val="19"/>
        </w:rPr>
        <w:t>Financial Analyst &amp; Valuations Modeler | March 2025 – Present</w:t>
      </w:r>
      <w:r>
        <w:rPr>
          <w:rFonts w:ascii="Calibri" w:eastAsia="Calibri" w:hAnsi="Calibri" w:cs="Calibri"/>
          <w:i/>
          <w:iCs/>
          <w:color w:val="222222"/>
          <w:sz w:val="19"/>
          <w:szCs w:val="19"/>
        </w:rPr>
        <w:tab/>
      </w:r>
    </w:p>
    <w:p w14:paraId="21238B9A" w14:textId="490A3F1A" w:rsidR="007C460B" w:rsidRPr="006014D4" w:rsidRDefault="006014D4">
      <w:pPr>
        <w:pStyle w:val="ListParagraph"/>
        <w:numPr>
          <w:ilvl w:val="0"/>
          <w:numId w:val="1"/>
        </w:numPr>
        <w:spacing w:after="60"/>
        <w:ind w:left="316" w:hanging="215"/>
        <w:rPr>
          <w:rFonts w:ascii="Calibri" w:eastAsia="Calibri" w:hAnsi="Calibri" w:cs="Calibri"/>
          <w:color w:val="222222"/>
          <w:sz w:val="19"/>
          <w:szCs w:val="19"/>
        </w:rPr>
      </w:pPr>
      <w:r>
        <w:rPr>
          <w:rFonts w:ascii="Calibri" w:eastAsia="Calibri" w:hAnsi="Calibri" w:cs="Calibri"/>
          <w:color w:val="222222"/>
          <w:sz w:val="19"/>
          <w:szCs w:val="19"/>
        </w:rPr>
        <w:t xml:space="preserve">Built a </w:t>
      </w:r>
      <w:proofErr w:type="spellStart"/>
      <w:r w:rsidRPr="006014D4">
        <w:rPr>
          <w:rFonts w:ascii="Calibri" w:eastAsia="Calibri" w:hAnsi="Calibri" w:cs="Calibri"/>
          <w:color w:val="222222"/>
          <w:sz w:val="19"/>
          <w:szCs w:val="19"/>
        </w:rPr>
        <w:t>a</w:t>
      </w:r>
      <w:proofErr w:type="spellEnd"/>
      <w:r w:rsidRPr="006014D4">
        <w:rPr>
          <w:rFonts w:ascii="Calibri" w:eastAsia="Calibri" w:hAnsi="Calibri" w:cs="Calibri"/>
          <w:color w:val="222222"/>
          <w:sz w:val="19"/>
          <w:szCs w:val="19"/>
        </w:rPr>
        <w:t xml:space="preserve"> five-year segment-level financial model, FCFF DCF, FCFE/dividend analysis and SOTP valuation;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 </w:t>
      </w:r>
      <w:r w:rsidRPr="006014D4">
        <w:rPr>
          <w:rFonts w:ascii="Calibri" w:eastAsia="Calibri" w:hAnsi="Calibri" w:cs="Calibri"/>
          <w:color w:val="222222"/>
          <w:sz w:val="19"/>
          <w:szCs w:val="19"/>
        </w:rPr>
        <w:t>triangulated a 372/share blended target against a 263.50 reference price, implying c.41% base-case upside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 </w:t>
      </w:r>
    </w:p>
    <w:p w14:paraId="6BAF6643" w14:textId="05A77F66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  <w:rPr>
          <w:rFonts w:ascii="Calibri" w:eastAsia="Calibri" w:hAnsi="Calibri" w:cs="Calibri"/>
          <w:color w:val="222222"/>
          <w:sz w:val="19"/>
          <w:szCs w:val="19"/>
        </w:rPr>
      </w:pPr>
      <w:r>
        <w:rPr>
          <w:rFonts w:ascii="Calibri" w:eastAsia="Calibri" w:hAnsi="Calibri" w:cs="Calibri"/>
          <w:color w:val="222222"/>
          <w:sz w:val="19"/>
          <w:szCs w:val="19"/>
        </w:rPr>
        <w:t xml:space="preserve">Applied </w:t>
      </w:r>
      <w:r w:rsidR="006014D4">
        <w:rPr>
          <w:rFonts w:ascii="Calibri" w:eastAsia="Calibri" w:hAnsi="Calibri" w:cs="Calibri"/>
          <w:color w:val="222222"/>
          <w:sz w:val="19"/>
          <w:szCs w:val="19"/>
        </w:rPr>
        <w:t xml:space="preserve">multiple </w:t>
      </w:r>
      <w:r w:rsidR="006014D4" w:rsidRPr="006014D4">
        <w:rPr>
          <w:rFonts w:ascii="Calibri" w:eastAsia="Calibri" w:hAnsi="Calibri" w:cs="Calibri"/>
          <w:color w:val="222222"/>
          <w:sz w:val="19"/>
          <w:szCs w:val="19"/>
        </w:rPr>
        <w:t>linear regression to 65 monthly ITC/NIFTY/RBI observations; interpreted a ~0.94 market beta</w:t>
      </w:r>
      <w:r w:rsidR="006014D4" w:rsidRPr="006014D4">
        <w:rPr>
          <w:rFonts w:ascii="Calibri" w:eastAsia="Calibri" w:hAnsi="Calibri" w:cs="Calibri"/>
          <w:color w:val="222222"/>
          <w:sz w:val="19"/>
          <w:szCs w:val="19"/>
        </w:rPr>
        <w:br/>
        <w:t>and ~0.356 R² while explicitly separating correlation from causation in the repo-rate r</w:t>
      </w:r>
      <w:r w:rsidR="006014D4">
        <w:rPr>
          <w:rFonts w:ascii="Calibri" w:eastAsia="Calibri" w:hAnsi="Calibri" w:cs="Calibri"/>
          <w:color w:val="222222"/>
          <w:sz w:val="19"/>
          <w:szCs w:val="19"/>
        </w:rPr>
        <w:t>esult.</w:t>
      </w:r>
    </w:p>
    <w:p w14:paraId="063964E0" w14:textId="1F03E6B5" w:rsidR="006014D4" w:rsidRPr="006014D4" w:rsidRDefault="006014D4" w:rsidP="006014D4">
      <w:pPr>
        <w:spacing w:after="60"/>
        <w:ind w:left="101"/>
        <w:rPr>
          <w:rFonts w:ascii="Calibri" w:eastAsia="Calibri" w:hAnsi="Calibri" w:cs="Calibri"/>
          <w:color w:val="222222"/>
          <w:sz w:val="19"/>
          <w:szCs w:val="19"/>
        </w:rPr>
      </w:pPr>
      <w:r w:rsidRPr="006014D4">
        <w:rPr>
          <w:rFonts w:ascii="Calibri" w:eastAsia="Calibri" w:hAnsi="Calibri" w:cs="Calibri"/>
          <w:b/>
          <w:bCs/>
          <w:color w:val="222222"/>
          <w:sz w:val="19"/>
          <w:szCs w:val="19"/>
        </w:rPr>
        <w:t>Portfolio</w:t>
      </w: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:</w:t>
      </w:r>
      <w:r w:rsidRPr="006014D4">
        <w:rPr>
          <w:rFonts w:ascii="Calibri" w:eastAsia="Calibri" w:hAnsi="Calibri" w:cs="Calibri"/>
          <w:color w:val="222222"/>
          <w:sz w:val="19"/>
          <w:szCs w:val="19"/>
        </w:rPr>
        <w:t xml:space="preserve"> </w:t>
      </w:r>
      <w:hyperlink r:id="rId7" w:history="1">
        <w:r w:rsidRPr="006014D4">
          <w:rPr>
            <w:rStyle w:val="Hyperlink"/>
            <w:rFonts w:ascii="Calibri" w:eastAsia="Calibri" w:hAnsi="Calibri" w:cs="Calibri"/>
            <w:sz w:val="19"/>
            <w:szCs w:val="19"/>
          </w:rPr>
          <w:t>ayushchakraborty.com/research</w:t>
        </w:r>
        <w:r w:rsidRPr="006014D4">
          <w:rPr>
            <w:rStyle w:val="Hyperlink"/>
            <w:rFonts w:ascii="Calibri" w:eastAsia="Calibri" w:hAnsi="Calibri" w:cs="Calibri"/>
            <w:sz w:val="19"/>
            <w:szCs w:val="19"/>
          </w:rPr>
          <w:t xml:space="preserve"> </w:t>
        </w:r>
      </w:hyperlink>
      <w:r w:rsidRPr="006014D4">
        <w:rPr>
          <w:rFonts w:ascii="Calibri" w:eastAsia="Calibri" w:hAnsi="Calibri" w:cs="Calibri"/>
          <w:color w:val="222222"/>
          <w:sz w:val="19"/>
          <w:szCs w:val="19"/>
        </w:rPr>
        <w:t xml:space="preserve"> | Research write-up, model, valuation sensitivity, R analysis and project</w:t>
      </w:r>
    </w:p>
    <w:p w14:paraId="771EA8E2" w14:textId="62DFAA15" w:rsidR="006014D4" w:rsidRPr="006014D4" w:rsidRDefault="006014D4" w:rsidP="006014D4">
      <w:pPr>
        <w:spacing w:after="60"/>
        <w:ind w:left="101"/>
        <w:rPr>
          <w:rFonts w:ascii="Calibri" w:eastAsia="Calibri" w:hAnsi="Calibri" w:cs="Calibri"/>
          <w:color w:val="222222"/>
          <w:sz w:val="19"/>
          <w:szCs w:val="19"/>
        </w:rPr>
      </w:pPr>
      <w:r w:rsidRPr="006014D4">
        <w:rPr>
          <w:rFonts w:ascii="Calibri" w:eastAsia="Calibri" w:hAnsi="Calibri" w:cs="Calibri"/>
          <w:color w:val="222222"/>
          <w:sz w:val="19"/>
          <w:szCs w:val="19"/>
        </w:rPr>
        <w:t>files.</w:t>
      </w:r>
    </w:p>
    <w:p w14:paraId="42F317F1" w14:textId="77777777" w:rsidR="007C460B" w:rsidRDefault="00000000">
      <w:pPr>
        <w:pBdr>
          <w:bottom w:val="single" w:sz="4" w:space="1" w:color="1F3864"/>
        </w:pBdr>
        <w:spacing w:before="200" w:after="8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LEADERSHIP &amp; COMMUNITY IMPACT</w:t>
      </w:r>
    </w:p>
    <w:p w14:paraId="02EA5F48" w14:textId="77777777" w:rsidR="007C460B" w:rsidRDefault="00000000">
      <w:pPr>
        <w:tabs>
          <w:tab w:val="right" w:pos="9360"/>
        </w:tabs>
      </w:pPr>
      <w:r>
        <w:rPr>
          <w:rFonts w:ascii="Calibri" w:eastAsia="Calibri" w:hAnsi="Calibri" w:cs="Calibri"/>
          <w:b/>
          <w:bCs/>
          <w:color w:val="222222"/>
        </w:rPr>
        <w:t>JAAGO Global Concern, UWCSEA</w:t>
      </w:r>
      <w:r>
        <w:rPr>
          <w:rFonts w:ascii="Calibri" w:eastAsia="Calibri" w:hAnsi="Calibri" w:cs="Calibri"/>
          <w:color w:val="222222"/>
        </w:rPr>
        <w:tab/>
        <w:t>Singapore</w:t>
      </w:r>
    </w:p>
    <w:p w14:paraId="745601C1" w14:textId="77777777" w:rsidR="007C460B" w:rsidRDefault="00000000">
      <w:pPr>
        <w:tabs>
          <w:tab w:val="right" w:pos="9360"/>
        </w:tabs>
        <w:spacing w:after="60"/>
      </w:pPr>
      <w:r>
        <w:rPr>
          <w:rFonts w:ascii="Calibri" w:eastAsia="Calibri" w:hAnsi="Calibri" w:cs="Calibri"/>
          <w:i/>
          <w:iCs/>
          <w:color w:val="222222"/>
          <w:sz w:val="19"/>
          <w:szCs w:val="19"/>
        </w:rPr>
        <w:t>Elected Chairperson &amp; Executive Co-Leader | September 2023 – August 2024</w:t>
      </w:r>
      <w:r>
        <w:rPr>
          <w:rFonts w:ascii="Calibri" w:eastAsia="Calibri" w:hAnsi="Calibri" w:cs="Calibri"/>
          <w:i/>
          <w:iCs/>
          <w:color w:val="222222"/>
          <w:sz w:val="19"/>
          <w:szCs w:val="19"/>
        </w:rPr>
        <w:tab/>
      </w:r>
    </w:p>
    <w:p w14:paraId="228E3697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color w:val="222222"/>
          <w:sz w:val="19"/>
          <w:szCs w:val="19"/>
        </w:rPr>
        <w:t>Navigated repeated permission and approval delays that compressed the planning window for a first-time fundraising gala, coordinating a time-sensitive process across a 12-person committee to fast-track advertising, resourcing, and a funding pitch — still delivering the event successfully and raising SGD 2,100 for 60 students' tuition in Bangladesh</w:t>
      </w:r>
    </w:p>
    <w:p w14:paraId="44D0F16F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color w:val="222222"/>
          <w:sz w:val="19"/>
          <w:szCs w:val="19"/>
        </w:rPr>
        <w:t>Built PowerPoint decks and pitched the case for sustained investment to stakeholders, securing multi-year partner funding commitments and demonstrating the program's long-term impact</w:t>
      </w:r>
    </w:p>
    <w:p w14:paraId="1ECAFA1B" w14:textId="77777777" w:rsidR="007C460B" w:rsidRDefault="00000000">
      <w:pPr>
        <w:pBdr>
          <w:bottom w:val="single" w:sz="4" w:space="1" w:color="1F3864"/>
        </w:pBdr>
        <w:spacing w:before="200" w:after="8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SKILLS</w:t>
      </w:r>
    </w:p>
    <w:p w14:paraId="6BE99BEC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Analytical &amp; Quantitative: 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Financial &amp; Credit Analysis, Historical Performance &amp; Forecast </w:t>
      </w:r>
      <w:proofErr w:type="spellStart"/>
      <w:r>
        <w:rPr>
          <w:rFonts w:ascii="Calibri" w:eastAsia="Calibri" w:hAnsi="Calibri" w:cs="Calibri"/>
          <w:color w:val="222222"/>
          <w:sz w:val="19"/>
          <w:szCs w:val="19"/>
        </w:rPr>
        <w:t>Modeling</w:t>
      </w:r>
      <w:proofErr w:type="spellEnd"/>
      <w:r>
        <w:rPr>
          <w:rFonts w:ascii="Calibri" w:eastAsia="Calibri" w:hAnsi="Calibri" w:cs="Calibri"/>
          <w:color w:val="222222"/>
          <w:sz w:val="19"/>
          <w:szCs w:val="19"/>
        </w:rPr>
        <w:t xml:space="preserve"> (3-Statement, DCF, Comps), Basic Accounting &amp; Corporate Finance</w:t>
      </w:r>
    </w:p>
    <w:p w14:paraId="7C0F9CD3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Client &amp; Presentation Skills: </w:t>
      </w:r>
      <w:r>
        <w:rPr>
          <w:rFonts w:ascii="Calibri" w:eastAsia="Calibri" w:hAnsi="Calibri" w:cs="Calibri"/>
          <w:color w:val="222222"/>
          <w:sz w:val="19"/>
          <w:szCs w:val="19"/>
        </w:rPr>
        <w:t>Client-Ready Written Communication, Market &amp; Sector Monitoring, Company &amp; Industry Research</w:t>
      </w:r>
    </w:p>
    <w:p w14:paraId="7E0040A9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Team &amp; Organizational: </w:t>
      </w:r>
      <w:r>
        <w:rPr>
          <w:rFonts w:ascii="Calibri" w:eastAsia="Calibri" w:hAnsi="Calibri" w:cs="Calibri"/>
          <w:color w:val="222222"/>
          <w:sz w:val="19"/>
          <w:szCs w:val="19"/>
        </w:rPr>
        <w:t>Cross-Functional Team Leadership, Stakeholder Management, Organizational &amp; Time Management, Composure Under Pressure and Deadlines</w:t>
      </w:r>
    </w:p>
    <w:p w14:paraId="6ABD96E4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Technical Tools: </w:t>
      </w:r>
      <w:r>
        <w:rPr>
          <w:rFonts w:ascii="Calibri" w:eastAsia="Calibri" w:hAnsi="Calibri" w:cs="Calibri"/>
          <w:color w:val="222222"/>
          <w:sz w:val="19"/>
          <w:szCs w:val="19"/>
        </w:rPr>
        <w:t>Excel (XLOOKUP, Advanced Formulas), Word, PowerPoint, R (</w:t>
      </w:r>
      <w:proofErr w:type="spellStart"/>
      <w:r>
        <w:rPr>
          <w:rFonts w:ascii="Calibri" w:eastAsia="Calibri" w:hAnsi="Calibri" w:cs="Calibri"/>
          <w:color w:val="222222"/>
          <w:sz w:val="19"/>
          <w:szCs w:val="19"/>
        </w:rPr>
        <w:t>tidyquant</w:t>
      </w:r>
      <w:proofErr w:type="spellEnd"/>
      <w:r>
        <w:rPr>
          <w:rFonts w:ascii="Calibri" w:eastAsia="Calibri" w:hAnsi="Calibri" w:cs="Calibri"/>
          <w:color w:val="222222"/>
          <w:sz w:val="19"/>
          <w:szCs w:val="19"/>
        </w:rPr>
        <w:t>, Regression Analysis), SQL, Bloomberg Terminal (working knowledge)</w:t>
      </w:r>
    </w:p>
    <w:p w14:paraId="0652A0A4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eastAsia="Calibri" w:hAnsi="Calibri" w:cs="Calibri"/>
          <w:color w:val="222222"/>
          <w:sz w:val="19"/>
          <w:szCs w:val="19"/>
        </w:rPr>
        <w:t>English (Native), Bengali (Native), Mandarin Chinese (Intermediate)</w:t>
      </w:r>
    </w:p>
    <w:p w14:paraId="2AE97810" w14:textId="77777777" w:rsidR="007C460B" w:rsidRDefault="00000000">
      <w:pPr>
        <w:pStyle w:val="ListParagraph"/>
        <w:numPr>
          <w:ilvl w:val="0"/>
          <w:numId w:val="1"/>
        </w:numPr>
        <w:spacing w:after="60"/>
        <w:ind w:left="316" w:hanging="215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Interests: </w:t>
      </w:r>
      <w:r>
        <w:rPr>
          <w:rFonts w:ascii="Calibri" w:eastAsia="Calibri" w:hAnsi="Calibri" w:cs="Calibri"/>
          <w:color w:val="222222"/>
          <w:sz w:val="19"/>
          <w:szCs w:val="19"/>
        </w:rPr>
        <w:t>Tennis, Football, Chess, Drums</w:t>
      </w:r>
    </w:p>
    <w:sectPr w:rsidR="007C460B">
      <w:pgSz w:w="11906" w:h="16838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A53589"/>
    <w:multiLevelType w:val="hybridMultilevel"/>
    <w:tmpl w:val="FBEAD57E"/>
    <w:lvl w:ilvl="0" w:tplc="CBEA4E74">
      <w:start w:val="1"/>
      <w:numFmt w:val="bullet"/>
      <w:lvlText w:val="●"/>
      <w:lvlJc w:val="left"/>
      <w:pPr>
        <w:ind w:left="720" w:hanging="360"/>
      </w:pPr>
    </w:lvl>
    <w:lvl w:ilvl="1" w:tplc="0B7C0C62">
      <w:start w:val="1"/>
      <w:numFmt w:val="bullet"/>
      <w:lvlText w:val="○"/>
      <w:lvlJc w:val="left"/>
      <w:pPr>
        <w:ind w:left="1440" w:hanging="360"/>
      </w:pPr>
    </w:lvl>
    <w:lvl w:ilvl="2" w:tplc="65F03926">
      <w:start w:val="1"/>
      <w:numFmt w:val="bullet"/>
      <w:lvlText w:val="■"/>
      <w:lvlJc w:val="left"/>
      <w:pPr>
        <w:ind w:left="2160" w:hanging="360"/>
      </w:pPr>
    </w:lvl>
    <w:lvl w:ilvl="3" w:tplc="E2244378">
      <w:start w:val="1"/>
      <w:numFmt w:val="bullet"/>
      <w:lvlText w:val="●"/>
      <w:lvlJc w:val="left"/>
      <w:pPr>
        <w:ind w:left="2880" w:hanging="360"/>
      </w:pPr>
    </w:lvl>
    <w:lvl w:ilvl="4" w:tplc="CD141986">
      <w:start w:val="1"/>
      <w:numFmt w:val="bullet"/>
      <w:lvlText w:val="○"/>
      <w:lvlJc w:val="left"/>
      <w:pPr>
        <w:ind w:left="3600" w:hanging="360"/>
      </w:pPr>
    </w:lvl>
    <w:lvl w:ilvl="5" w:tplc="8B248E10">
      <w:start w:val="1"/>
      <w:numFmt w:val="bullet"/>
      <w:lvlText w:val="■"/>
      <w:lvlJc w:val="left"/>
      <w:pPr>
        <w:ind w:left="4320" w:hanging="360"/>
      </w:pPr>
    </w:lvl>
    <w:lvl w:ilvl="6" w:tplc="A39AB9F4">
      <w:start w:val="1"/>
      <w:numFmt w:val="bullet"/>
      <w:lvlText w:val="●"/>
      <w:lvlJc w:val="left"/>
      <w:pPr>
        <w:ind w:left="5040" w:hanging="360"/>
      </w:pPr>
    </w:lvl>
    <w:lvl w:ilvl="7" w:tplc="53E01CEA">
      <w:start w:val="1"/>
      <w:numFmt w:val="bullet"/>
      <w:lvlText w:val="●"/>
      <w:lvlJc w:val="left"/>
      <w:pPr>
        <w:ind w:left="5760" w:hanging="360"/>
      </w:pPr>
    </w:lvl>
    <w:lvl w:ilvl="8" w:tplc="B57626C6">
      <w:start w:val="1"/>
      <w:numFmt w:val="bullet"/>
      <w:lvlText w:val="●"/>
      <w:lvlJc w:val="left"/>
      <w:pPr>
        <w:ind w:left="6480" w:hanging="360"/>
      </w:pPr>
    </w:lvl>
  </w:abstractNum>
  <w:num w:numId="1" w16cid:durableId="10400846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60B"/>
    <w:rsid w:val="00014333"/>
    <w:rsid w:val="005A6FAE"/>
    <w:rsid w:val="006014D4"/>
    <w:rsid w:val="006A60B5"/>
    <w:rsid w:val="007C460B"/>
    <w:rsid w:val="00886952"/>
    <w:rsid w:val="00C40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B70BE4"/>
  <w15:docId w15:val="{BA683506-4894-344A-902C-3F510F1BF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A60B5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6014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ayushchakraborty.com/researc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yushchakr/" TargetMode="External"/><Relationship Id="rId5" Type="http://schemas.openxmlformats.org/officeDocument/2006/relationships/hyperlink" Target="mailto:ayush.n.chakraborty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574</Words>
  <Characters>3276</Characters>
  <Application>Microsoft Office Word</Application>
  <DocSecurity>0</DocSecurity>
  <Lines>27</Lines>
  <Paragraphs>7</Paragraphs>
  <ScaleCrop>false</ScaleCrop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CHAKRABORTY, AYUSH (Student)</cp:lastModifiedBy>
  <cp:revision>2</cp:revision>
  <dcterms:created xsi:type="dcterms:W3CDTF">2026-09-10T10:24:00Z</dcterms:created>
  <dcterms:modified xsi:type="dcterms:W3CDTF">2026-09-10T10:24:00Z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8402f30af23ee1c7b19daad1b1be1298ae74eb1ad5d7af6d268f6ec0023a9155</vt:lpwstr>
  </property>
</Properties>
</file>