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66717E"/>
          <w:sz w:val="17"/>
        </w:rPr>
        <w:t>M&amp;A; TRANSACTION ANALYSIS</w:t>
      </w:r>
    </w:p>
    <w:p>
      <w:pPr>
        <w:pStyle w:val="Title"/>
      </w:pPr>
      <w:r>
        <w:t>OCS / Mitie</w:t>
      </w:r>
    </w:p>
    <w:p>
      <w:r>
        <w:rPr>
          <w:color w:val="66717E"/>
          <w:sz w:val="30"/>
        </w:rPr>
        <w:t>£3.1bn recommended cash acquisition</w:t>
      </w:r>
    </w:p>
    <w:p/>
    <w:tbl>
      <w:tblPr>
        <w:tblW w:type="auto" w:w="0"/>
        <w:jc w:val="center"/>
        <w:tblLayout w:type="fixed"/>
        <w:tblLook w:firstColumn="1" w:firstRow="1" w:lastColumn="0" w:lastRow="0" w:noHBand="0" w:noVBand="1" w:val="04A0"/>
      </w:tblPr>
      <w:tblGrid>
        <w:gridCol w:w="2613"/>
        <w:gridCol w:w="2613"/>
        <w:gridCol w:w="2613"/>
        <w:gridCol w:w="2613"/>
      </w:tblGrid>
      <w:tr>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221.6p</w:t>
            </w:r>
          </w:p>
          <w:p>
            <w:pPr>
              <w:jc w:val="center"/>
            </w:pPr>
            <w:r>
              <w:rPr>
                <w:color w:val="66717E"/>
                <w:sz w:val="15"/>
              </w:rPr>
              <w:t>Headline value / share</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46.8%</w:t>
            </w:r>
          </w:p>
          <w:p>
            <w:pPr>
              <w:jc w:val="center"/>
            </w:pPr>
            <w:r>
              <w:rPr>
                <w:color w:val="66717E"/>
                <w:sz w:val="15"/>
              </w:rPr>
              <w:t>Premium to unaffected price</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~£3.1bn</w:t>
            </w:r>
          </w:p>
          <w:p>
            <w:pPr>
              <w:jc w:val="center"/>
            </w:pPr>
            <w:r>
              <w:rPr>
                <w:color w:val="66717E"/>
                <w:sz w:val="15"/>
              </w:rPr>
              <w:t>Fully diluted equity value</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~£8.5bn</w:t>
            </w:r>
          </w:p>
          <w:p>
            <w:pPr>
              <w:jc w:val="center"/>
            </w:pPr>
            <w:r>
              <w:rPr>
                <w:color w:val="66717E"/>
                <w:sz w:val="15"/>
              </w:rPr>
              <w:t>Official combined revenue</w:t>
            </w:r>
          </w:p>
        </w:tc>
      </w:tr>
    </w:tbl>
    <w:p/>
    <w:p>
      <w:pPr>
        <w:spacing w:after="40"/>
      </w:pPr>
      <w:r>
        <w:rPr>
          <w:rFonts w:ascii="Aptos" w:hAnsi="Aptos"/>
          <w:b/>
          <w:color w:val="66717E"/>
          <w:sz w:val="17"/>
        </w:rPr>
        <w:t>CORE QUESTION</w:t>
      </w:r>
    </w:p>
    <w:tbl>
      <w:tblPr>
        <w:tblW w:type="auto" w:w="0"/>
        <w:tblLook w:firstColumn="1" w:firstRow="1" w:lastColumn="0" w:lastRow="0" w:noHBand="0" w:noVBand="1" w:val="04A0"/>
      </w:tblPr>
      <w:tblGrid>
        <w:gridCol w:w="10454"/>
      </w:tblGrid>
      <w:tr>
        <w:tc>
          <w:tcPr>
            <w:tcW w:type="dxa" w:w="10454"/>
            <w:shd w:fill="F3F7FB"/>
            <w:tcMar>
              <w:top w:w="130" w:type="dxa"/>
              <w:start w:w="150" w:type="dxa"/>
              <w:bottom w:w="130" w:type="dxa"/>
              <w:end w:w="150" w:type="dxa"/>
            </w:tcMar>
            <w:tcBorders>
              <w:top w:val="nil" w:sz="0" w:color="FFFFFF"/>
              <w:left w:val="single" w:sz="18" w:color="2F75B5"/>
              <w:bottom w:val="nil" w:sz="0" w:color="FFFFFF"/>
              <w:right w:val="nil" w:sz="0" w:color="FFFFFF"/>
            </w:tcBorders>
          </w:tcPr>
          <w:p>
            <w:r>
              <w:rPr>
                <w:b/>
                <w:color w:val="173A63"/>
                <w:sz w:val="21"/>
              </w:rPr>
              <w:t>How much operating improvement is required to support the premium and financing burden - without overstating what the public transaction materials actually disclose?</w:t>
            </w:r>
          </w:p>
        </w:tc>
      </w:tr>
    </w:tbl>
    <w:p/>
    <w:tbl>
      <w:tblPr>
        <w:tblW w:type="auto" w:w="0"/>
        <w:jc w:val="center"/>
        <w:tblLayout w:type="fixed"/>
        <w:tblLook w:firstColumn="1" w:firstRow="1" w:lastColumn="0" w:lastRow="0" w:noHBand="0" w:noVBand="1" w:val="04A0"/>
      </w:tblPr>
      <w:tblGrid>
        <w:gridCol w:w="2613"/>
        <w:gridCol w:w="2613"/>
        <w:gridCol w:w="2613"/>
        <w:gridCol w:w="2613"/>
      </w:tblGrid>
      <w:tr>
        <w:tc>
          <w:tcPr>
            <w:tcW w:type="dxa" w:w="1656"/>
            <w:shd w:fill="F3F7FB"/>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b/>
                <w:color w:val="172B3A"/>
                <w:sz w:val="17"/>
              </w:rPr>
              <w:t>Cash offer</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218.5p/share</w:t>
            </w:r>
          </w:p>
        </w:tc>
        <w:tc>
          <w:tcPr>
            <w:tcW w:type="dxa" w:w="1656"/>
            <w:shd w:fill="F3F7FB"/>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b/>
                <w:color w:val="172B3A"/>
                <w:sz w:val="17"/>
              </w:rPr>
              <w:t>Permitted dividend</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3.1p/share</w:t>
            </w:r>
          </w:p>
        </w:tc>
      </w:tr>
      <w:tr>
        <w:tc>
          <w:tcPr>
            <w:tcW w:type="dxa" w:w="1656"/>
            <w:shd w:fill="E8F1F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b/>
                <w:color w:val="172B3A"/>
                <w:sz w:val="17"/>
              </w:rPr>
              <w:t>Unaffected close</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151.0p</w:t>
            </w:r>
          </w:p>
        </w:tc>
        <w:tc>
          <w:tcPr>
            <w:tcW w:type="dxa" w:w="1656"/>
            <w:shd w:fill="E8F1F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b/>
                <w:color w:val="172B3A"/>
                <w:sz w:val="17"/>
              </w:rPr>
              <w:t>Cash premium</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44.7%</w:t>
            </w:r>
          </w:p>
        </w:tc>
      </w:tr>
      <w:tr>
        <w:tc>
          <w:tcPr>
            <w:tcW w:type="dxa" w:w="1656"/>
            <w:shd w:fill="F3F7FB"/>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b/>
                <w:color w:val="172B3A"/>
                <w:sz w:val="17"/>
              </w:rPr>
              <w:t>Announcement</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21 July 2026</w:t>
            </w:r>
          </w:p>
        </w:tc>
        <w:tc>
          <w:tcPr>
            <w:tcW w:type="dxa" w:w="1656"/>
            <w:shd w:fill="F3F7FB"/>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b/>
                <w:color w:val="172B3A"/>
                <w:sz w:val="17"/>
              </w:rPr>
              <w:t>Prepared</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September 2026</w:t>
            </w:r>
          </w:p>
        </w:tc>
      </w:tr>
    </w:tbl>
    <w:p/>
    <w:p>
      <w:r>
        <w:rPr>
          <w:b/>
          <w:color w:val="2F75B5"/>
          <w:sz w:val="26"/>
        </w:rPr>
        <w:t>Prepared by Ayush Chakraborty</w:t>
      </w:r>
    </w:p>
    <w:p>
      <w:r>
        <w:rPr>
          <w:color w:val="66717E"/>
          <w:sz w:val="17"/>
        </w:rPr>
        <w:t>Economics, Durham University | September 2026</w:t>
      </w:r>
    </w:p>
    <w:p>
      <w:r>
        <w:rPr>
          <w:color w:val="66717E"/>
          <w:sz w:val="16"/>
        </w:rPr>
        <w:t>Independent research for portfolio / educational purposes. Publicly disclosed transaction facts are separated from illustrative analytical assumptions. This is not investment advice.</w:t>
      </w:r>
    </w:p>
    <w:p>
      <w:r>
        <w:br w:type="page"/>
      </w:r>
    </w:p>
    <w:p>
      <w:pPr>
        <w:spacing w:after="40"/>
      </w:pPr>
      <w:r>
        <w:rPr>
          <w:rFonts w:ascii="Aptos" w:hAnsi="Aptos"/>
          <w:b/>
          <w:color w:val="66717E"/>
          <w:sz w:val="17"/>
        </w:rPr>
        <w:t>01 | INVESTMENT-BANKING VIEW</w:t>
      </w:r>
    </w:p>
    <w:p>
      <w:pPr>
        <w:pStyle w:val="Heading1"/>
      </w:pPr>
      <w:r>
        <w:t>Executive summary</w:t>
      </w:r>
    </w:p>
    <w:p>
      <w:pPr>
        <w:spacing w:before="0" w:after="160"/>
        <w:pBdr>
          <w:bottom w:val="single" w:sz="12" w:space="1" w:color="173A63"/>
        </w:pBdr>
      </w:pPr>
    </w:p>
    <w:p>
      <w:r>
        <w:t>OCS agreed a recommended cash acquisition of Mitie at 218.5p per share. Mitie shareholders may retain the FY26 final dividend of 3.1p, taking headline value to 221.6p per share. The headline value represents a 46.8% premium to the 151.0p unaffected close on 20 July 2026 and implies an approximate £3.1bn fully diluted equity value.</w:t>
      </w:r>
    </w:p>
    <w:p>
      <w:r>
        <w:t>The corrected analytical framing is deliberately conservative: the report distinguishes the 218.5p cash price from the 221.6p headline shareholder value, keeps company operating metrics on their own reported bases, and avoids presenting an unsupported sponsor ownership, rollover or debt perimeter.</w:t>
      </w:r>
    </w:p>
    <w:p>
      <w:r>
        <w:t>The financing case in the model is explicitly illustrative rather than presented as disclosed transaction funding. The same discipline applies to synergies: £50m / £100m / £150m are modelling cases, not company guidance.</w:t>
      </w:r>
    </w:p>
    <w:p/>
    <w:tbl>
      <w:tblPr>
        <w:tblW w:type="auto" w:w="0"/>
        <w:tblLook w:firstColumn="1" w:firstRow="1" w:lastColumn="0" w:lastRow="0" w:noHBand="0" w:noVBand="1" w:val="04A0"/>
      </w:tblPr>
      <w:tblGrid>
        <w:gridCol w:w="10454"/>
      </w:tblGrid>
      <w:tr>
        <w:tc>
          <w:tcPr>
            <w:tcW w:type="dxa" w:w="10454"/>
            <w:shd w:fill="F3F7FB"/>
            <w:tcMar>
              <w:top w:w="130" w:type="dxa"/>
              <w:start w:w="150" w:type="dxa"/>
              <w:bottom w:w="130" w:type="dxa"/>
              <w:end w:w="150" w:type="dxa"/>
            </w:tcMar>
            <w:tcBorders>
              <w:top w:val="nil" w:sz="0" w:color="FFFFFF"/>
              <w:left w:val="single" w:sz="18" w:color="2F75B5"/>
              <w:bottom w:val="nil" w:sz="0" w:color="FFFFFF"/>
              <w:right w:val="nil" w:sz="0" w:color="FFFFFF"/>
            </w:tcBorders>
          </w:tcPr>
          <w:p>
            <w:r>
              <w:rPr>
                <w:b/>
                <w:color w:val="173A63"/>
                <w:sz w:val="21"/>
              </w:rPr>
              <w:t>Analytical discipline: verified transaction facts first; modelling assumptions second; no unsupported sponsor-return output.</w:t>
            </w:r>
          </w:p>
        </w:tc>
      </w:tr>
    </w:tbl>
    <w:p/>
    <w:p>
      <w:pPr>
        <w:spacing w:after="40"/>
      </w:pPr>
      <w:r>
        <w:rPr>
          <w:rFonts w:ascii="Aptos" w:hAnsi="Aptos"/>
          <w:b/>
          <w:color w:val="66717E"/>
          <w:sz w:val="17"/>
        </w:rPr>
        <w:t>KEY CORRECTED FIGURES</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218.5p</w:t>
            </w:r>
          </w:p>
          <w:p>
            <w:pPr>
              <w:jc w:val="center"/>
            </w:pPr>
            <w:r>
              <w:rPr>
                <w:color w:val="66717E"/>
                <w:sz w:val="15"/>
              </w:rPr>
              <w:t>Cash acquisition price</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3.1p</w:t>
            </w:r>
          </w:p>
          <w:p>
            <w:pPr>
              <w:jc w:val="center"/>
            </w:pPr>
            <w:r>
              <w:rPr>
                <w:color w:val="66717E"/>
                <w:sz w:val="15"/>
              </w:rPr>
              <w:t>Permitted FY26 dividend</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44.7%</w:t>
            </w:r>
          </w:p>
          <w:p>
            <w:pPr>
              <w:jc w:val="center"/>
            </w:pPr>
            <w:r>
              <w:rPr>
                <w:color w:val="66717E"/>
                <w:sz w:val="15"/>
              </w:rPr>
              <w:t>Cash-price premium</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46.8%</w:t>
            </w:r>
          </w:p>
          <w:p>
            <w:pPr>
              <w:jc w:val="center"/>
            </w:pPr>
            <w:r>
              <w:rPr>
                <w:color w:val="66717E"/>
                <w:sz w:val="15"/>
              </w:rPr>
              <w:t>Headline premium</w:t>
            </w:r>
          </w:p>
        </w:tc>
      </w:tr>
    </w:tbl>
    <w:p>
      <w:r>
        <w:br w:type="page"/>
      </w:r>
    </w:p>
    <w:p>
      <w:pPr>
        <w:spacing w:after="40"/>
      </w:pPr>
      <w:r>
        <w:rPr>
          <w:rFonts w:ascii="Aptos" w:hAnsi="Aptos"/>
          <w:b/>
          <w:color w:val="66717E"/>
          <w:sz w:val="17"/>
        </w:rPr>
        <w:t>02 | DEAL MECHANICS</w:t>
      </w:r>
    </w:p>
    <w:p>
      <w:pPr>
        <w:pStyle w:val="Heading1"/>
      </w:pPr>
      <w:r>
        <w:t>Verified transaction facts</w:t>
      </w:r>
    </w:p>
    <w:p>
      <w:pPr>
        <w:spacing w:before="0" w:after="160"/>
        <w:pBdr>
          <w:bottom w:val="single" w:sz="12" w:space="1" w:color="173A63"/>
        </w:pBdr>
      </w:pPr>
    </w:p>
    <w:tbl>
      <w:tblPr>
        <w:tblW w:type="auto" w:w="0"/>
        <w:jc w:val="center"/>
        <w:tblLayout w:type="fixed"/>
        <w:tblLook w:firstColumn="1" w:firstRow="1" w:lastColumn="0" w:lastRow="0" w:noHBand="0" w:noVBand="1" w:val="04A0"/>
      </w:tblPr>
      <w:tblGrid>
        <w:gridCol w:w="5227"/>
        <w:gridCol w:w="5227"/>
      </w:tblGrid>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Item</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Figure</w:t>
            </w:r>
          </w:p>
        </w:tc>
      </w:tr>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Cash acquisition price</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218.5p/share</w:t>
            </w:r>
          </w:p>
        </w:tc>
      </w:tr>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Permitted FY26 final dividend</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3.1p/share</w:t>
            </w:r>
          </w:p>
        </w:tc>
      </w:tr>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Headline shareholder value</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221.6p/share</w:t>
            </w:r>
          </w:p>
        </w:tc>
      </w:tr>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Unaffected close</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151.0p</w:t>
            </w:r>
          </w:p>
        </w:tc>
      </w:tr>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Cash-price premium</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44.7%</w:t>
            </w:r>
          </w:p>
        </w:tc>
      </w:tr>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Headline premium</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46.8%</w:t>
            </w:r>
          </w:p>
        </w:tc>
      </w:tr>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Approx. fully diluted equity value</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£3.1bn</w:t>
            </w:r>
          </w:p>
        </w:tc>
      </w:tr>
      <w:tr>
        <w:tc>
          <w:tcPr>
            <w:tcW w:type="dxa" w:w="61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Official combined revenue</w:t>
            </w:r>
          </w:p>
        </w:tc>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~£8.5bn calendar-2025</w:t>
            </w:r>
          </w:p>
        </w:tc>
      </w:tr>
    </w:tbl>
    <w:p/>
    <w:p>
      <w:pPr>
        <w:spacing w:after="40"/>
      </w:pPr>
      <w:r>
        <w:rPr>
          <w:rFonts w:ascii="Aptos" w:hAnsi="Aptos"/>
          <w:b/>
          <w:color w:val="66717E"/>
          <w:sz w:val="17"/>
        </w:rPr>
        <w:t>PREMIUM ARITHMETIC</w:t>
      </w:r>
    </w:p>
    <w:tbl>
      <w:tblPr>
        <w:tblW w:type="auto" w:w="0"/>
        <w:jc w:val="center"/>
        <w:tblLayout w:type="fixed"/>
        <w:tblLook w:firstColumn="1" w:firstRow="1" w:lastColumn="0" w:lastRow="0" w:noHBand="0" w:noVBand="1" w:val="04A0"/>
      </w:tblPr>
      <w:tblGrid>
        <w:gridCol w:w="3485"/>
        <w:gridCol w:w="3485"/>
        <w:gridCol w:w="3485"/>
      </w:tblGrid>
      <w:tr>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Measure</w:t>
            </w:r>
          </w:p>
        </w:tc>
        <w:tc>
          <w:tcPr>
            <w:tcW w:type="dxa" w:w="388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Formula</w:t>
            </w:r>
          </w:p>
        </w:tc>
        <w:tc>
          <w:tcPr>
            <w:tcW w:type="dxa" w:w="230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Result</w:t>
            </w:r>
          </w:p>
        </w:tc>
      </w:tr>
      <w:tr>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Cash-price premium</w:t>
            </w:r>
          </w:p>
        </w:tc>
        <w:tc>
          <w:tcPr>
            <w:tcW w:type="dxa" w:w="388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218.5 / 151.0 - 1</w:t>
            </w:r>
          </w:p>
        </w:tc>
        <w:tc>
          <w:tcPr>
            <w:tcW w:type="dxa" w:w="230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44.7%</w:t>
            </w:r>
          </w:p>
        </w:tc>
      </w:tr>
      <w:tr>
        <w:tc>
          <w:tcPr>
            <w:tcW w:type="dxa" w:w="302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Headline premium</w:t>
            </w:r>
          </w:p>
        </w:tc>
        <w:tc>
          <w:tcPr>
            <w:tcW w:type="dxa" w:w="388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221.6 / 151.0 - 1</w:t>
            </w:r>
          </w:p>
        </w:tc>
        <w:tc>
          <w:tcPr>
            <w:tcW w:type="dxa" w:w="230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46.8%</w:t>
            </w:r>
          </w:p>
        </w:tc>
      </w:tr>
    </w:tbl>
    <w:p/>
    <w:p>
      <w:r>
        <w:rPr>
          <w:sz w:val="19"/>
        </w:rPr>
        <w:t>The distinction between cash price and headline value is important: the 46.8% figure uses 221.6p, while the 44.7% figure uses the 218.5p cash offer.</w:t>
      </w:r>
    </w:p>
    <w:p>
      <w:r>
        <w:br w:type="page"/>
      </w:r>
    </w:p>
    <w:p>
      <w:pPr>
        <w:spacing w:after="40"/>
      </w:pPr>
      <w:r>
        <w:rPr>
          <w:rFonts w:ascii="Aptos" w:hAnsi="Aptos"/>
          <w:b/>
          <w:color w:val="66717E"/>
          <w:sz w:val="17"/>
        </w:rPr>
        <w:t>03 | OPERATING REFERENCE</w:t>
      </w:r>
    </w:p>
    <w:p>
      <w:pPr>
        <w:pStyle w:val="Heading1"/>
      </w:pPr>
      <w:r>
        <w:t>Company metrics kept on their reported bases</w:t>
      </w:r>
    </w:p>
    <w:p>
      <w:pPr>
        <w:spacing w:before="0" w:after="160"/>
        <w:pBdr>
          <w:bottom w:val="single" w:sz="12" w:space="1" w:color="173A63"/>
        </w:pBdr>
      </w:pPr>
    </w:p>
    <w:tbl>
      <w:tblPr>
        <w:tblW w:type="auto" w:w="0"/>
        <w:jc w:val="center"/>
        <w:tblLayout w:type="fixed"/>
        <w:tblLook w:firstColumn="1" w:firstRow="1" w:lastColumn="0" w:lastRow="0" w:noHBand="0" w:noVBand="1" w:val="04A0"/>
      </w:tblPr>
      <w:tblGrid>
        <w:gridCol w:w="3485"/>
        <w:gridCol w:w="3485"/>
        <w:gridCol w:w="3485"/>
      </w:tblGrid>
      <w:tr>
        <w:tc>
          <w:tcPr>
            <w:tcW w:type="dxa" w:w="388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Metric</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OCS FY2025</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Mitie FY2026</w:t>
            </w:r>
          </w:p>
        </w:tc>
      </w:tr>
      <w:tr>
        <w:tc>
          <w:tcPr>
            <w:tcW w:type="dxa" w:w="388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Revenue</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£2,658.6m</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£5,619m</w:t>
            </w:r>
          </w:p>
        </w:tc>
      </w:tr>
      <w:tr>
        <w:tc>
          <w:tcPr>
            <w:tcW w:type="dxa" w:w="388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Adjusted EBITDA</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£191.6m</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w:t>
            </w:r>
          </w:p>
        </w:tc>
      </w:tr>
      <w:tr>
        <w:tc>
          <w:tcPr>
            <w:tcW w:type="dxa" w:w="388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Operating profit before Other items</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£135.2m</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£264m</w:t>
            </w:r>
          </w:p>
        </w:tc>
      </w:tr>
      <w:tr>
        <w:tc>
          <w:tcPr>
            <w:tcW w:type="dxa" w:w="3888"/>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Operating cash flow / FCF</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£163.9m</w:t>
            </w:r>
          </w:p>
        </w:tc>
        <w:tc>
          <w:tcPr>
            <w:tcW w:type="dxa" w:w="259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£162m</w:t>
            </w:r>
          </w:p>
        </w:tc>
      </w:tr>
    </w:tbl>
    <w:p/>
    <w:tbl>
      <w:tblPr>
        <w:tblW w:type="auto" w:w="0"/>
        <w:tblLook w:firstColumn="1" w:firstRow="1" w:lastColumn="0" w:lastRow="0" w:noHBand="0" w:noVBand="1" w:val="04A0"/>
      </w:tblPr>
      <w:tblGrid>
        <w:gridCol w:w="10454"/>
      </w:tblGrid>
      <w:tr>
        <w:tc>
          <w:tcPr>
            <w:tcW w:type="dxa" w:w="10454"/>
            <w:shd w:fill="F3F7FB"/>
            <w:tcMar>
              <w:top w:w="130" w:type="dxa"/>
              <w:start w:w="150" w:type="dxa"/>
              <w:bottom w:w="130" w:type="dxa"/>
              <w:end w:w="150" w:type="dxa"/>
            </w:tcMar>
            <w:tcBorders>
              <w:top w:val="nil" w:sz="0" w:color="FFFFFF"/>
              <w:left w:val="single" w:sz="18" w:color="2F75B5"/>
              <w:bottom w:val="nil" w:sz="0" w:color="FFFFFF"/>
              <w:right w:val="nil" w:sz="0" w:color="FFFFFF"/>
            </w:tcBorders>
          </w:tcPr>
          <w:p>
            <w:r>
              <w:rPr>
                <w:b/>
                <w:color w:val="173A63"/>
                <w:sz w:val="21"/>
              </w:rPr>
              <w:t>The periods and profit measures are kept separate: Mitie operating profit is not presented as EBITDA, and the non-coterminous revenue figures are not used as the official combined-revenue measure.</w:t>
            </w:r>
          </w:p>
        </w:tc>
      </w:tr>
    </w:tbl>
    <w:p/>
    <w:p>
      <w:pPr>
        <w:pStyle w:val="Heading2"/>
      </w:pPr>
      <w:r>
        <w:t>Why this matters</w:t>
      </w:r>
    </w:p>
    <w:p>
      <w:r>
        <w:t>A transaction model becomes misleading if unlike profit measures are simply added together. The corrected version therefore uses the operating-reference table for context, while the official ~£8.5bn combined-revenue figure remains separately identified as the calendar-2025 transaction reference.</w:t>
      </w:r>
    </w:p>
    <w:p>
      <w:r>
        <w:t>This keeps the public facts useful without creating a false precision around combined EBITDA or transaction EV / EBITDA.</w:t>
      </w:r>
    </w:p>
    <w:p>
      <w:r>
        <w:br w:type="page"/>
      </w:r>
    </w:p>
    <w:p>
      <w:pPr>
        <w:spacing w:after="40"/>
      </w:pPr>
      <w:r>
        <w:rPr>
          <w:rFonts w:ascii="Aptos" w:hAnsi="Aptos"/>
          <w:b/>
          <w:color w:val="66717E"/>
          <w:sz w:val="17"/>
        </w:rPr>
        <w:t>04 | FINANCING SCENARIO</w:t>
      </w:r>
    </w:p>
    <w:p>
      <w:pPr>
        <w:pStyle w:val="Heading1"/>
      </w:pPr>
      <w:r>
        <w:t>Illustrative uses &amp; balanced funding case</w:t>
      </w:r>
    </w:p>
    <w:p>
      <w:pPr>
        <w:spacing w:before="0" w:after="160"/>
        <w:pBdr>
          <w:bottom w:val="single" w:sz="12" w:space="1" w:color="173A63"/>
        </w:pBdr>
      </w:pPr>
    </w:p>
    <w:tbl>
      <w:tblPr>
        <w:tblW w:type="auto" w:w="0"/>
        <w:tblLook w:firstColumn="1" w:firstRow="1" w:lastColumn="0" w:lastRow="0" w:noHBand="0" w:noVBand="1" w:val="04A0"/>
      </w:tblPr>
      <w:tblGrid>
        <w:gridCol w:w="10454"/>
      </w:tblGrid>
      <w:tr>
        <w:tc>
          <w:tcPr>
            <w:tcW w:type="dxa" w:w="10454"/>
            <w:shd w:fill="F3F7FB"/>
            <w:tcMar>
              <w:top w:w="130" w:type="dxa"/>
              <w:start w:w="150" w:type="dxa"/>
              <w:bottom w:w="130" w:type="dxa"/>
              <w:end w:w="150" w:type="dxa"/>
            </w:tcMar>
            <w:tcBorders>
              <w:top w:val="nil" w:sz="0" w:color="FFFFFF"/>
              <w:left w:val="single" w:sz="18" w:color="2F75B5"/>
              <w:bottom w:val="nil" w:sz="0" w:color="FFFFFF"/>
              <w:right w:val="nil" w:sz="0" w:color="FFFFFF"/>
            </w:tcBorders>
          </w:tcPr>
          <w:p>
            <w:r>
              <w:rPr>
                <w:b/>
                <w:color w:val="173A63"/>
                <w:sz w:val="21"/>
              </w:rPr>
              <w:t>The offer materials disclose CD&amp;R equity and committed debt financing, but do not provide enough public information to infer an exact sponsor ownership / rollover / debt perimeter.</w:t>
            </w:r>
          </w:p>
        </w:tc>
      </w:tr>
    </w:tbl>
    <w:p/>
    <w:tbl>
      <w:tblPr>
        <w:tblW w:type="auto" w:w="0"/>
        <w:jc w:val="center"/>
        <w:tblLayout w:type="fixed"/>
        <w:tblLook w:firstColumn="1" w:firstRow="1" w:lastColumn="0" w:lastRow="0" w:noHBand="0" w:noVBand="1" w:val="04A0"/>
      </w:tblPr>
      <w:tblGrid>
        <w:gridCol w:w="3485"/>
        <w:gridCol w:w="3485"/>
        <w:gridCol w:w="3485"/>
      </w:tblGrid>
      <w:tr>
        <w:tc>
          <w:tcPr>
            <w:tcW w:type="dxa" w:w="446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Uses / funding</w:t>
            </w:r>
          </w:p>
        </w:tc>
        <w:tc>
          <w:tcPr>
            <w:tcW w:type="dxa" w:w="187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£m</w:t>
            </w:r>
          </w:p>
        </w:tc>
        <w:tc>
          <w:tcPr>
            <w:tcW w:type="dxa" w:w="273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7"/>
              </w:rPr>
              <w:t>Status</w:t>
            </w:r>
          </w:p>
        </w:tc>
      </w:tr>
      <w:tr>
        <w:tc>
          <w:tcPr>
            <w:tcW w:type="dxa" w:w="446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Equity purchase value</w:t>
            </w:r>
          </w:p>
        </w:tc>
        <w:tc>
          <w:tcPr>
            <w:tcW w:type="dxa" w:w="187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3,100.0</w:t>
            </w:r>
          </w:p>
        </w:tc>
        <w:tc>
          <w:tcPr>
            <w:tcW w:type="dxa" w:w="273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Transaction reference</w:t>
            </w:r>
          </w:p>
        </w:tc>
      </w:tr>
      <w:tr>
        <w:tc>
          <w:tcPr>
            <w:tcW w:type="dxa" w:w="446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Illustrative integration cost</w:t>
            </w:r>
          </w:p>
        </w:tc>
        <w:tc>
          <w:tcPr>
            <w:tcW w:type="dxa" w:w="187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125.0</w:t>
            </w:r>
          </w:p>
        </w:tc>
        <w:tc>
          <w:tcPr>
            <w:tcW w:type="dxa" w:w="273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Model assumption</w:t>
            </w:r>
          </w:p>
        </w:tc>
      </w:tr>
      <w:tr>
        <w:tc>
          <w:tcPr>
            <w:tcW w:type="dxa" w:w="446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Total uses</w:t>
            </w:r>
          </w:p>
        </w:tc>
        <w:tc>
          <w:tcPr>
            <w:tcW w:type="dxa" w:w="187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3,225.0</w:t>
            </w:r>
          </w:p>
        </w:tc>
        <w:tc>
          <w:tcPr>
            <w:tcW w:type="dxa" w:w="273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Calculated</w:t>
            </w:r>
          </w:p>
        </w:tc>
      </w:tr>
      <w:tr>
        <w:tc>
          <w:tcPr>
            <w:tcW w:type="dxa" w:w="446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Illustrative debt funding (50%)</w:t>
            </w:r>
          </w:p>
        </w:tc>
        <w:tc>
          <w:tcPr>
            <w:tcW w:type="dxa" w:w="187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1,612.5</w:t>
            </w:r>
          </w:p>
        </w:tc>
        <w:tc>
          <w:tcPr>
            <w:tcW w:type="dxa" w:w="273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7"/>
              </w:rPr>
              <w:t>Model assumption</w:t>
            </w:r>
          </w:p>
        </w:tc>
      </w:tr>
      <w:tr>
        <w:tc>
          <w:tcPr>
            <w:tcW w:type="dxa" w:w="446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Illustrative sponsor-equity residual</w:t>
            </w:r>
          </w:p>
        </w:tc>
        <w:tc>
          <w:tcPr>
            <w:tcW w:type="dxa" w:w="187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1,612.5</w:t>
            </w:r>
          </w:p>
        </w:tc>
        <w:tc>
          <w:tcPr>
            <w:tcW w:type="dxa" w:w="273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7"/>
              </w:rPr>
              <w:t>Calculated</w:t>
            </w:r>
          </w:p>
        </w:tc>
      </w:tr>
    </w:tbl>
    <w:p/>
    <w:p>
      <w:pPr>
        <w:spacing w:after="40"/>
      </w:pPr>
      <w:r>
        <w:rPr>
          <w:rFonts w:ascii="Aptos" w:hAnsi="Aptos"/>
          <w:b/>
          <w:color w:val="66717E"/>
          <w:sz w:val="17"/>
        </w:rPr>
        <w:t>BALANCE CHECK</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£3.225bn</w:t>
            </w:r>
          </w:p>
          <w:p>
            <w:pPr>
              <w:jc w:val="center"/>
            </w:pPr>
            <w:r>
              <w:rPr>
                <w:color w:val="66717E"/>
                <w:sz w:val="15"/>
              </w:rPr>
              <w:t>Total uses</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£1.6125bn</w:t>
            </w:r>
          </w:p>
          <w:p>
            <w:pPr>
              <w:jc w:val="center"/>
            </w:pPr>
            <w:r>
              <w:rPr>
                <w:color w:val="66717E"/>
                <w:sz w:val="15"/>
              </w:rPr>
              <w:t>Illustrative debt</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£1.6125bn</w:t>
            </w:r>
          </w:p>
          <w:p>
            <w:pPr>
              <w:jc w:val="center"/>
            </w:pPr>
            <w:r>
              <w:rPr>
                <w:color w:val="66717E"/>
                <w:sz w:val="15"/>
              </w:rPr>
              <w:t>Illustrative equity</w:t>
            </w:r>
          </w:p>
        </w:tc>
        <w:tc>
          <w:tcPr>
            <w:tcW w:type="dxa" w:w="2477"/>
            <w:tcMar>
              <w:top w:w="160" w:type="dxa"/>
              <w:start w:w="70" w:type="dxa"/>
              <w:bottom w:w="150" w:type="dxa"/>
              <w:end w:w="70" w:type="dxa"/>
            </w:tcMar>
            <w:tcBorders>
              <w:top w:val="single" w:sz="5" w:color="D9E1E8"/>
              <w:left w:val="single" w:sz="5" w:color="D9E1E8"/>
              <w:bottom w:val="single" w:sz="5" w:color="D9E1E8"/>
              <w:right w:val="single" w:sz="5" w:color="D9E1E8"/>
            </w:tcBorders>
          </w:tcPr>
          <w:p>
            <w:pPr>
              <w:jc w:val="center"/>
            </w:pPr>
            <w:r>
              <w:rPr>
                <w:rFonts w:ascii="Aptos Display" w:hAnsi="Aptos Display"/>
                <w:b/>
                <w:color w:val="173A63"/>
                <w:sz w:val="36"/>
              </w:rPr>
              <w:t>0</w:t>
            </w:r>
          </w:p>
          <w:p>
            <w:pPr>
              <w:jc w:val="center"/>
            </w:pPr>
            <w:r>
              <w:rPr>
                <w:color w:val="66717E"/>
                <w:sz w:val="15"/>
              </w:rPr>
              <w:t>Sources - uses</w:t>
            </w:r>
          </w:p>
        </w:tc>
      </w:tr>
    </w:tbl>
    <w:p/>
    <w:p>
      <w:r>
        <w:t>The 50% debt-funded case is a scenario for analysis, not a claim about the disclosed transaction capital structure.</w:t>
      </w:r>
    </w:p>
    <w:p>
      <w:r>
        <w:br w:type="page"/>
      </w:r>
    </w:p>
    <w:p>
      <w:pPr>
        <w:spacing w:after="40"/>
      </w:pPr>
      <w:r>
        <w:rPr>
          <w:rFonts w:ascii="Aptos" w:hAnsi="Aptos"/>
          <w:b/>
          <w:color w:val="66717E"/>
          <w:sz w:val="17"/>
        </w:rPr>
        <w:t>05 | ILLUSTRATIVE ANALYTICAL CASE</w:t>
      </w:r>
    </w:p>
    <w:p>
      <w:pPr>
        <w:pStyle w:val="Heading1"/>
      </w:pPr>
      <w:r>
        <w:t>Synergy scenarios</w:t>
      </w:r>
    </w:p>
    <w:p>
      <w:pPr>
        <w:spacing w:before="0" w:after="160"/>
        <w:pBdr>
          <w:bottom w:val="single" w:sz="12" w:space="1" w:color="173A63"/>
        </w:pBdr>
      </w:pPr>
    </w:p>
    <w:p>
      <w:r>
        <w:t>OCS has not publicly disclosed a quantified synergy target in the material used for this portfolio analysis. The scenarios below are therefore modelling cases rather than company guidance.</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c>
          <w:tcPr>
            <w:tcW w:type="dxa" w:w="158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Scenario</w:t>
            </w:r>
          </w:p>
        </w:tc>
        <w:tc>
          <w:tcPr>
            <w:tcW w:type="dxa" w:w="151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Run-rate</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Implementation cost</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Y1</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Y2</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Y3+</w:t>
            </w:r>
          </w:p>
        </w:tc>
      </w:tr>
      <w:tr>
        <w:tc>
          <w:tcPr>
            <w:tcW w:type="dxa" w:w="158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Bear</w:t>
            </w:r>
          </w:p>
        </w:tc>
        <w:tc>
          <w:tcPr>
            <w:tcW w:type="dxa" w:w="151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£50m</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1.50x</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25%</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65%</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100%</w:t>
            </w:r>
          </w:p>
        </w:tc>
      </w:tr>
      <w:tr>
        <w:tc>
          <w:tcPr>
            <w:tcW w:type="dxa" w:w="158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Base</w:t>
            </w:r>
          </w:p>
        </w:tc>
        <w:tc>
          <w:tcPr>
            <w:tcW w:type="dxa" w:w="151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£100m</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1.25x</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25%</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65%</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100%</w:t>
            </w:r>
          </w:p>
        </w:tc>
      </w:tr>
      <w:tr>
        <w:tc>
          <w:tcPr>
            <w:tcW w:type="dxa" w:w="158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Bull</w:t>
            </w:r>
          </w:p>
        </w:tc>
        <w:tc>
          <w:tcPr>
            <w:tcW w:type="dxa" w:w="151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£150m</w:t>
            </w:r>
          </w:p>
        </w:tc>
        <w:tc>
          <w:tcPr>
            <w:tcW w:type="dxa" w:w="2232"/>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1.00x</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25%</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65%</w:t>
            </w:r>
          </w:p>
        </w:tc>
        <w:tc>
          <w:tcPr>
            <w:tcW w:type="dxa" w:w="108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100%</w:t>
            </w:r>
          </w:p>
        </w:tc>
      </w:tr>
    </w:tbl>
    <w:p/>
    <w:p>
      <w:pPr>
        <w:spacing w:after="40"/>
      </w:pPr>
      <w:r>
        <w:rPr>
          <w:rFonts w:ascii="Aptos" w:hAnsi="Aptos"/>
          <w:b/>
          <w:color w:val="66717E"/>
          <w:sz w:val="17"/>
        </w:rPr>
        <w:t>INTERPRETATION</w:t>
      </w:r>
    </w:p>
    <w:p>
      <w:r>
        <w:rPr>
          <w:b/>
          <w:color w:val="173A63"/>
        </w:rPr>
        <w:t xml:space="preserve">Bear - </w:t>
      </w:r>
      <w:r>
        <w:t>£50m run-rate; higher 1.50x implementation cost; phased 25% / 65% / 100%.</w:t>
      </w:r>
    </w:p>
    <w:p>
      <w:r>
        <w:rPr>
          <w:b/>
          <w:color w:val="173A63"/>
        </w:rPr>
        <w:t xml:space="preserve">Base - </w:t>
      </w:r>
      <w:r>
        <w:t>£100m run-rate; 1.25x implementation cost; same phased capture profile.</w:t>
      </w:r>
    </w:p>
    <w:p>
      <w:r>
        <w:rPr>
          <w:b/>
          <w:color w:val="173A63"/>
        </w:rPr>
        <w:t xml:space="preserve">Bull - </w:t>
      </w:r>
      <w:r>
        <w:t>£150m run-rate; 1.00x implementation cost; same phased capture profile.</w:t>
      </w:r>
    </w:p>
    <w:p/>
    <w:tbl>
      <w:tblPr>
        <w:tblW w:type="auto" w:w="0"/>
        <w:tblLook w:firstColumn="1" w:firstRow="1" w:lastColumn="0" w:lastRow="0" w:noHBand="0" w:noVBand="1" w:val="04A0"/>
      </w:tblPr>
      <w:tblGrid>
        <w:gridCol w:w="10454"/>
      </w:tblGrid>
      <w:tr>
        <w:tc>
          <w:tcPr>
            <w:tcW w:type="dxa" w:w="10454"/>
            <w:shd w:fill="F3F7FB"/>
            <w:tcMar>
              <w:top w:w="130" w:type="dxa"/>
              <w:start w:w="150" w:type="dxa"/>
              <w:bottom w:w="130" w:type="dxa"/>
              <w:end w:w="150" w:type="dxa"/>
            </w:tcMar>
            <w:tcBorders>
              <w:top w:val="nil" w:sz="0" w:color="FFFFFF"/>
              <w:left w:val="single" w:sz="18" w:color="2F75B5"/>
              <w:bottom w:val="nil" w:sz="0" w:color="FFFFFF"/>
              <w:right w:val="nil" w:sz="0" w:color="FFFFFF"/>
            </w:tcBorders>
          </w:tcPr>
          <w:p>
            <w:r>
              <w:rPr>
                <w:b/>
                <w:color w:val="173A63"/>
                <w:sz w:val="21"/>
              </w:rPr>
              <w:t>The model tests operating improvement without presenting the scenarios as management guidance.</w:t>
            </w:r>
          </w:p>
        </w:tc>
      </w:tr>
    </w:tbl>
    <w:p>
      <w:r>
        <w:br w:type="page"/>
      </w:r>
    </w:p>
    <w:p>
      <w:pPr>
        <w:spacing w:after="40"/>
      </w:pPr>
      <w:r>
        <w:rPr>
          <w:rFonts w:ascii="Aptos" w:hAnsi="Aptos"/>
          <w:b/>
          <w:color w:val="66717E"/>
          <w:sz w:val="17"/>
        </w:rPr>
        <w:t>06 | WHAT THE MODEL DELIBERATELY DOES NOT CLAIM</w:t>
      </w:r>
    </w:p>
    <w:p>
      <w:pPr>
        <w:pStyle w:val="Heading1"/>
      </w:pPr>
      <w:r>
        <w:t>Boundaries, caveats &amp; analytical discipline</w:t>
      </w:r>
    </w:p>
    <w:p>
      <w:pPr>
        <w:spacing w:before="0" w:after="160"/>
        <w:pBdr>
          <w:bottom w:val="single" w:sz="12" w:space="1" w:color="173A63"/>
        </w:pBdr>
      </w:pPr>
    </w:p>
    <w:tbl>
      <w:tblPr>
        <w:tblW w:type="auto" w:w="0"/>
        <w:jc w:val="center"/>
        <w:tblLook w:firstColumn="1" w:firstRow="1" w:lastColumn="0" w:lastRow="0" w:noHBand="0" w:noVBand="1" w:val="04A0"/>
      </w:tblPr>
      <w:tblGrid>
        <w:gridCol w:w="5227"/>
        <w:gridCol w:w="5227"/>
      </w:tblGrid>
      <w:tr>
        <w:tc>
          <w:tcPr>
            <w:tcW w:type="dxa" w:w="5227"/>
            <w:shd w:fill="F3F7FB"/>
            <w:tcMar>
              <w:top w:w="160" w:type="dxa"/>
              <w:start w:w="150" w:type="dxa"/>
              <w:bottom w:w="160" w:type="dxa"/>
              <w:end w:w="150" w:type="dxa"/>
            </w:tcMar>
            <w:tcBorders>
              <w:top w:val="single" w:sz="5" w:color="D9E1E8"/>
              <w:left w:val="single" w:sz="5" w:color="D9E1E8"/>
              <w:bottom w:val="single" w:sz="5" w:color="D9E1E8"/>
              <w:right w:val="single" w:sz="5" w:color="D9E1E8"/>
            </w:tcBorders>
          </w:tcPr>
          <w:p>
            <w:r>
              <w:rPr>
                <w:b/>
                <w:color w:val="173A63"/>
                <w:sz w:val="20"/>
              </w:rPr>
              <w:t>No invented sponsor split</w:t>
            </w:r>
          </w:p>
          <w:p>
            <w:pPr>
              <w:spacing w:after="0"/>
            </w:pPr>
            <w:r>
              <w:rPr>
                <w:sz w:val="17"/>
              </w:rPr>
              <w:t>Public materials do not provide enough information to infer an exact sponsor ownership / rollover / debt perimeter.</w:t>
            </w:r>
          </w:p>
        </w:tc>
        <w:tc>
          <w:tcPr>
            <w:tcW w:type="dxa" w:w="5227"/>
            <w:shd w:fill="F3F7FB"/>
            <w:tcMar>
              <w:top w:w="160" w:type="dxa"/>
              <w:start w:w="150" w:type="dxa"/>
              <w:bottom w:w="160" w:type="dxa"/>
              <w:end w:w="150" w:type="dxa"/>
            </w:tcMar>
            <w:tcBorders>
              <w:top w:val="single" w:sz="5" w:color="D9E1E8"/>
              <w:left w:val="single" w:sz="5" w:color="D9E1E8"/>
              <w:bottom w:val="single" w:sz="5" w:color="D9E1E8"/>
              <w:right w:val="single" w:sz="5" w:color="D9E1E8"/>
            </w:tcBorders>
          </w:tcPr>
          <w:p>
            <w:r>
              <w:rPr>
                <w:b/>
                <w:color w:val="173A63"/>
                <w:sz w:val="20"/>
              </w:rPr>
              <w:t>No false EBITDA bridge</w:t>
            </w:r>
          </w:p>
          <w:p>
            <w:pPr>
              <w:spacing w:after="0"/>
            </w:pPr>
            <w:r>
              <w:rPr>
                <w:sz w:val="17"/>
              </w:rPr>
              <w:t>Mitie operating profit is not relabelled as EBITDA, and unlike profit measures are not added together.</w:t>
            </w:r>
          </w:p>
        </w:tc>
      </w:tr>
      <w:tr>
        <w:tc>
          <w:tcPr>
            <w:tcW w:type="dxa" w:w="5227"/>
            <w:shd w:fill="F3F7FB"/>
            <w:tcMar>
              <w:top w:w="160" w:type="dxa"/>
              <w:start w:w="150" w:type="dxa"/>
              <w:bottom w:w="160" w:type="dxa"/>
              <w:end w:w="150" w:type="dxa"/>
            </w:tcMar>
            <w:tcBorders>
              <w:top w:val="single" w:sz="5" w:color="D9E1E8"/>
              <w:left w:val="single" w:sz="5" w:color="D9E1E8"/>
              <w:bottom w:val="single" w:sz="5" w:color="D9E1E8"/>
              <w:right w:val="single" w:sz="5" w:color="D9E1E8"/>
            </w:tcBorders>
          </w:tcPr>
          <w:p>
            <w:r>
              <w:rPr>
                <w:b/>
                <w:color w:val="173A63"/>
                <w:sz w:val="20"/>
              </w:rPr>
              <w:t>No company-guidance synergies</w:t>
            </w:r>
          </w:p>
          <w:p>
            <w:pPr>
              <w:spacing w:after="0"/>
            </w:pPr>
            <w:r>
              <w:rPr>
                <w:sz w:val="17"/>
              </w:rPr>
              <w:t>£50m / £100m / £150m are explicitly illustrative modelling cases.</w:t>
            </w:r>
          </w:p>
        </w:tc>
        <w:tc>
          <w:tcPr>
            <w:tcW w:type="dxa" w:w="5227"/>
            <w:shd w:fill="F3F7FB"/>
            <w:tcMar>
              <w:top w:w="160" w:type="dxa"/>
              <w:start w:w="150" w:type="dxa"/>
              <w:bottom w:w="160" w:type="dxa"/>
              <w:end w:w="150" w:type="dxa"/>
            </w:tcMar>
            <w:tcBorders>
              <w:top w:val="single" w:sz="5" w:color="D9E1E8"/>
              <w:left w:val="single" w:sz="5" w:color="D9E1E8"/>
              <w:bottom w:val="single" w:sz="5" w:color="D9E1E8"/>
              <w:right w:val="single" w:sz="5" w:color="D9E1E8"/>
            </w:tcBorders>
          </w:tcPr>
          <w:p>
            <w:r>
              <w:rPr>
                <w:b/>
                <w:color w:val="173A63"/>
                <w:sz w:val="20"/>
              </w:rPr>
              <w:t>No unsupported sponsor returns</w:t>
            </w:r>
          </w:p>
          <w:p>
            <w:pPr>
              <w:spacing w:after="0"/>
            </w:pPr>
            <w:r>
              <w:rPr>
                <w:sz w:val="17"/>
              </w:rPr>
              <w:t>Sponsor-return metrics are not presented without a fully reconciled sponsor-equity, ownership, rollover and debt perimeter.</w:t>
            </w:r>
          </w:p>
        </w:tc>
      </w:tr>
    </w:tbl>
    <w:p/>
    <w:p>
      <w:pPr>
        <w:spacing w:after="40"/>
      </w:pPr>
      <w:r>
        <w:rPr>
          <w:rFonts w:ascii="Aptos" w:hAnsi="Aptos"/>
          <w:b/>
          <w:color w:val="66717E"/>
          <w:sz w:val="17"/>
        </w:rPr>
        <w:t>WHY THIS IS STRONGER</w:t>
      </w:r>
    </w:p>
    <w:p>
      <w:r>
        <w:t>The corrected version is intentionally less aggressive than the earlier draft. It gives up some apparent precision in exchange for a cleaner evidence chain: disclosed facts are labelled as facts, calculations are reproducible, and assumptions remain visibly assumptions.</w:t>
      </w:r>
    </w:p>
    <w:p>
      <w:r>
        <w:t>That makes the work easier to defend in an interview because each headline number can be traced either to a public transaction fact or to an explicitly labelled model input.</w:t>
      </w:r>
    </w:p>
    <w:p/>
    <w:tbl>
      <w:tblPr>
        <w:tblW w:type="auto" w:w="0"/>
        <w:tblLook w:firstColumn="1" w:firstRow="1" w:lastColumn="0" w:lastRow="0" w:noHBand="0" w:noVBand="1" w:val="04A0"/>
      </w:tblPr>
      <w:tblGrid>
        <w:gridCol w:w="10454"/>
      </w:tblGrid>
      <w:tr>
        <w:tc>
          <w:tcPr>
            <w:tcW w:type="dxa" w:w="10454"/>
            <w:shd w:fill="F3F7FB"/>
            <w:tcMar>
              <w:top w:w="130" w:type="dxa"/>
              <w:start w:w="150" w:type="dxa"/>
              <w:bottom w:w="130" w:type="dxa"/>
              <w:end w:w="150" w:type="dxa"/>
            </w:tcMar>
            <w:tcBorders>
              <w:top w:val="nil" w:sz="0" w:color="FFFFFF"/>
              <w:left w:val="single" w:sz="18" w:color="2F75B5"/>
              <w:bottom w:val="nil" w:sz="0" w:color="FFFFFF"/>
              <w:right w:val="nil" w:sz="0" w:color="FFFFFF"/>
            </w:tcBorders>
          </w:tcPr>
          <w:p>
            <w:r>
              <w:rPr>
                <w:b/>
                <w:color w:val="173A63"/>
                <w:sz w:val="21"/>
              </w:rPr>
              <w:t>Portfolio standard: precision where the evidence supports it; transparency where it does not.</w:t>
            </w:r>
          </w:p>
        </w:tc>
      </w:tr>
    </w:tbl>
    <w:p>
      <w:r>
        <w:br w:type="page"/>
      </w:r>
    </w:p>
    <w:p>
      <w:pPr>
        <w:spacing w:after="40"/>
      </w:pPr>
      <w:r>
        <w:rPr>
          <w:rFonts w:ascii="Aptos" w:hAnsi="Aptos"/>
          <w:b/>
          <w:color w:val="66717E"/>
          <w:sz w:val="17"/>
        </w:rPr>
        <w:t>07 | PUBLIC INFORMATION</w:t>
      </w:r>
    </w:p>
    <w:p>
      <w:pPr>
        <w:pStyle w:val="Heading1"/>
      </w:pPr>
      <w:r>
        <w:t>Selected sources &amp; model notes</w:t>
      </w:r>
    </w:p>
    <w:p>
      <w:pPr>
        <w:spacing w:before="0" w:after="160"/>
        <w:pBdr>
          <w:bottom w:val="single" w:sz="12" w:space="1" w:color="173A63"/>
        </w:pBdr>
      </w:pPr>
    </w:p>
    <w:tbl>
      <w:tblPr>
        <w:tblW w:type="auto" w:w="0"/>
        <w:jc w:val="center"/>
        <w:tblLayout w:type="fixed"/>
        <w:tblLook w:firstColumn="1" w:firstRow="1" w:lastColumn="0" w:lastRow="0" w:noHBand="0" w:noVBand="1" w:val="04A0"/>
      </w:tblPr>
      <w:tblGrid>
        <w:gridCol w:w="3485"/>
        <w:gridCol w:w="3485"/>
        <w:gridCol w:w="3485"/>
      </w:tblGrid>
      <w:tr>
        <w:tc>
          <w:tcPr>
            <w:tcW w:type="dxa" w:w="57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w:t>
            </w:r>
          </w:p>
        </w:tc>
        <w:tc>
          <w:tcPr>
            <w:tcW w:type="dxa" w:w="360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Source</w:t>
            </w:r>
          </w:p>
        </w:tc>
        <w:tc>
          <w:tcPr>
            <w:tcW w:type="dxa" w:w="518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173A63"/>
          </w:tcPr>
          <w:p>
            <w:r>
              <w:rPr>
                <w:b/>
                <w:color w:val="FFFFFF"/>
                <w:sz w:val="16"/>
              </w:rPr>
              <w:t>URL</w:t>
            </w:r>
          </w:p>
        </w:tc>
      </w:tr>
      <w:tr>
        <w:tc>
          <w:tcPr>
            <w:tcW w:type="dxa" w:w="57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1</w:t>
            </w:r>
          </w:p>
        </w:tc>
        <w:tc>
          <w:tcPr>
            <w:tcW w:type="dxa" w:w="360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Mitie investor materials / Rule 2.7 offer</w:t>
            </w:r>
          </w:p>
        </w:tc>
        <w:tc>
          <w:tcPr>
            <w:tcW w:type="dxa" w:w="518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https://www.mitie.com/investors/</w:t>
            </w:r>
          </w:p>
        </w:tc>
      </w:tr>
      <w:tr>
        <w:tc>
          <w:tcPr>
            <w:tcW w:type="dxa" w:w="57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2</w:t>
            </w:r>
          </w:p>
        </w:tc>
        <w:tc>
          <w:tcPr>
            <w:tcW w:type="dxa" w:w="360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Mitie Annual Report 2026</w:t>
            </w:r>
          </w:p>
        </w:tc>
        <w:tc>
          <w:tcPr>
            <w:tcW w:type="dxa" w:w="518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shd w:fill="F3F7FB"/>
          </w:tcPr>
          <w:p>
            <w:r>
              <w:rPr>
                <w:color w:val="172B3A"/>
                <w:sz w:val="16"/>
              </w:rPr>
              <w:t>https://www.mitie.com/investors/reports-and-presentations/annual-report-2026/</w:t>
            </w:r>
          </w:p>
        </w:tc>
      </w:tr>
      <w:tr>
        <w:tc>
          <w:tcPr>
            <w:tcW w:type="dxa" w:w="576"/>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3</w:t>
            </w:r>
          </w:p>
        </w:tc>
        <w:tc>
          <w:tcPr>
            <w:tcW w:type="dxa" w:w="3600"/>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OCS Group Topco Annual Report 2025</w:t>
            </w:r>
          </w:p>
        </w:tc>
        <w:tc>
          <w:tcPr>
            <w:tcW w:type="dxa" w:w="5184"/>
            <w:vAlign w:val="center"/>
            <w:tcMar>
              <w:top w:w="80" w:type="dxa"/>
              <w:start w:w="90" w:type="dxa"/>
              <w:bottom w:w="80" w:type="dxa"/>
              <w:end w:w="90" w:type="dxa"/>
            </w:tcMar>
            <w:tcBorders>
              <w:top w:val="single" w:sz="4" w:color="D9E1E8"/>
              <w:left w:val="single" w:sz="4" w:color="D9E1E8"/>
              <w:bottom w:val="single" w:sz="4" w:color="D9E1E8"/>
              <w:right w:val="single" w:sz="4" w:color="D9E1E8"/>
            </w:tcBorders>
          </w:tcPr>
          <w:p>
            <w:r>
              <w:rPr>
                <w:color w:val="172B3A"/>
                <w:sz w:val="16"/>
              </w:rPr>
              <w:t>https://ocs.com/app/uploads/2026/06/OCS_Group_Topco_FS_31.12.25.pdf</w:t>
            </w:r>
          </w:p>
        </w:tc>
      </w:tr>
    </w:tbl>
    <w:p/>
    <w:p>
      <w:pPr>
        <w:spacing w:after="40"/>
      </w:pPr>
      <w:r>
        <w:rPr>
          <w:rFonts w:ascii="Aptos" w:hAnsi="Aptos"/>
          <w:b/>
          <w:color w:val="66717E"/>
          <w:sz w:val="17"/>
        </w:rPr>
        <w:t>MODEL-NOTE DISCIPLINE</w:t>
      </w:r>
    </w:p>
    <w:p>
      <w:r>
        <w:t>Publicly disclosed facts are presented as such. The financing split, integration cost and synergy scenarios are illustrative analytical assumptions. They are used to test transaction economics, not to imply undisclosed OCS, Mitie or CD&amp;R guidance.</w:t>
      </w:r>
    </w:p>
    <w:p>
      <w:r>
        <w:t>The operating-reference section keeps OCS FY2025 and Mitie FY2026 metrics separate and does not present Mitie operating profit as EBITDA. The official ~£8.5bn combined-revenue figure is retained as a distinct calendar-2025 transaction reference.</w:t>
      </w:r>
    </w:p>
    <w:p/>
    <w:tbl>
      <w:tblPr>
        <w:tblW w:type="auto" w:w="0"/>
        <w:tblLook w:firstColumn="1" w:firstRow="1" w:lastColumn="0" w:lastRow="0" w:noHBand="0" w:noVBand="1" w:val="04A0"/>
      </w:tblPr>
      <w:tblGrid>
        <w:gridCol w:w="10454"/>
      </w:tblGrid>
      <w:tr>
        <w:tc>
          <w:tcPr>
            <w:tcW w:type="dxa" w:w="10454"/>
            <w:shd w:fill="F3F7FB"/>
            <w:tcMar>
              <w:top w:w="130" w:type="dxa"/>
              <w:start w:w="150" w:type="dxa"/>
              <w:bottom w:w="130" w:type="dxa"/>
              <w:end w:w="150" w:type="dxa"/>
            </w:tcMar>
            <w:tcBorders>
              <w:top w:val="nil" w:sz="0" w:color="FFFFFF"/>
              <w:left w:val="single" w:sz="18" w:color="2F75B5"/>
              <w:bottom w:val="nil" w:sz="0" w:color="FFFFFF"/>
              <w:right w:val="nil" w:sz="0" w:color="FFFFFF"/>
            </w:tcBorders>
          </w:tcPr>
          <w:p>
            <w:r>
              <w:rPr>
                <w:b/>
                <w:color w:val="173A63"/>
                <w:sz w:val="21"/>
              </w:rPr>
              <w:t>Prepared independently by Ayush Chakraborty | September 2026</w:t>
            </w:r>
          </w:p>
        </w:tc>
      </w:tr>
    </w:tbl>
    <w:p>
      <w:pPr>
        <w:jc w:val="center"/>
      </w:pPr>
      <w:r>
        <w:rPr>
          <w:color w:val="66717E"/>
          <w:sz w:val="16"/>
        </w:rPr>
        <w:t>Independent research for portfolio / educational purposes - not investment advice.</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6717E"/>
        <w:sz w:val="15"/>
      </w:rPr>
      <w:t>Ayush Chakraborty | Independent M&amp;A Transaction Analysis</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B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73A63"/>
      <w:sz w:val="38"/>
      <w:szCs w:val="28"/>
    </w:rPr>
  </w:style>
  <w:style w:type="paragraph" w:styleId="Heading2">
    <w:name w:val="heading 2"/>
    <w:basedOn w:val="Normal"/>
    <w:next w:val="Normal"/>
    <w:link w:val="Heading2Char"/>
    <w:uiPriority w:val="9"/>
    <w:unhideWhenUsed/>
    <w:qFormat/>
    <w:rsid w:val="00FC693F"/>
    <w:pPr>
      <w:keepNext/>
      <w:keepLines/>
      <w:spacing w:before="0" w:after="16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A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