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</w:rPr>
        <w:t>AYUSH CHAKRABORTY</w:t>
      </w:r>
    </w:p>
    <w:p>
      <w:pPr>
        <w:spacing w:after="60"/>
        <w:jc w:val="center"/>
      </w:pPr>
      <w:r>
        <w:rPr>
          <w:rFonts w:ascii="Arial" w:hAnsi="Arial"/>
        </w:rPr>
        <w:t xml:space="preserve">Durham, UK | +44 7939 361983 | </w:t>
      </w:r>
      <w:hyperlink r:id="rId9">
        <w:r>
          <w:rPr>
            <w:color w:val="0563C1"/>
            <w:u w:val="single"/>
          </w:rPr>
          <w:t>ayush.n.chakraborty@gmail.com</w:t>
        </w:r>
      </w:hyperlink>
      <w:r>
        <w:rPr>
          <w:rFonts w:ascii="Arial" w:hAnsi="Arial"/>
        </w:rPr>
        <w:t xml:space="preserve"> | </w:t>
      </w:r>
      <w:hyperlink r:id="rId10">
        <w:r>
          <w:rPr>
            <w:color w:val="0563C1"/>
            <w:u w:val="single"/>
          </w:rPr>
          <w:t>LinkedIn</w:t>
        </w:r>
      </w:hyperlink>
      <w:r>
        <w:rPr>
          <w:rFonts w:ascii="Arial" w:hAnsi="Arial"/>
        </w:rPr>
        <w:t xml:space="preserve"> | </w:t>
      </w:r>
      <w:hyperlink r:id="rId11">
        <w:r>
          <w:rPr>
            <w:color w:val="0563C1"/>
            <w:u w:val="single"/>
          </w:rPr>
          <w:t>Portfolio</w:t>
        </w:r>
      </w:hyperlink>
    </w:p>
    <w:p>
      <w:pPr>
        <w:pStyle w:val="CVSection"/>
        <w:keepNext/>
      </w:pPr>
      <w:r>
        <w:rPr>
          <w:rFonts w:ascii="Arial" w:hAnsi="Arial"/>
        </w:rPr>
        <w:t>EDUCATION</w:t>
      </w:r>
    </w:p>
    <w:p>
      <w:pPr>
        <w:tabs>
          <w:tab w:pos="10541" w:val="right"/>
        </w:tabs>
        <w:spacing w:before="40" w:after="0"/>
        <w:keepNext/>
      </w:pPr>
      <w:r>
        <w:rPr>
          <w:rFonts w:ascii="Arial" w:hAnsi="Arial"/>
          <w:b/>
        </w:rPr>
        <w:t>Durham University - Van Mildert College</w:t>
      </w:r>
      <w:r>
        <w:rPr>
          <w:rFonts w:ascii="Arial" w:hAnsi="Arial"/>
        </w:rPr>
        <w:tab/>
        <w:t>Durham, UK</w:t>
      </w:r>
    </w:p>
    <w:p>
      <w:pPr>
        <w:tabs>
          <w:tab w:pos="10541" w:val="right"/>
        </w:tabs>
        <w:spacing w:after="20"/>
        <w:keepNext/>
      </w:pPr>
      <w:r>
        <w:rPr>
          <w:rFonts w:ascii="Arial" w:hAnsi="Arial"/>
          <w:i/>
        </w:rPr>
        <w:t>BSc Economics | First-year result: Upper Second-Class Honours (2:1)</w:t>
      </w:r>
      <w:r>
        <w:rPr>
          <w:rFonts w:ascii="Arial" w:hAnsi="Arial"/>
        </w:rPr>
        <w:tab/>
        <w:t>2025 - 2028</w:t>
      </w:r>
    </w:p>
    <w:p>
      <w:pPr>
        <w:pStyle w:val="ListBullet"/>
        <w:spacing w:after="24" w:line="240" w:lineRule="auto"/>
        <w:ind w:left="259" w:hanging="202"/>
        <w:keepLines/>
      </w:pPr>
      <w:r>
        <w:rPr>
          <w:rFonts w:ascii="Arial" w:hAnsi="Arial"/>
        </w:rPr>
        <w:t>Relevant coursework: Econometrics, Banking, Global Financial Systems and Markets, Mastering Data and Computation (Excel and R), Microeconomics and Macroeconomics.</w:t>
      </w:r>
    </w:p>
    <w:p>
      <w:pPr>
        <w:tabs>
          <w:tab w:pos="10541" w:val="right"/>
        </w:tabs>
        <w:spacing w:before="40" w:after="0"/>
        <w:keepNext/>
      </w:pPr>
      <w:r>
        <w:rPr>
          <w:rFonts w:ascii="Arial" w:hAnsi="Arial"/>
          <w:b/>
        </w:rPr>
        <w:t>United World College of South East Asia</w:t>
      </w:r>
      <w:r>
        <w:rPr>
          <w:rFonts w:ascii="Arial" w:hAnsi="Arial"/>
        </w:rPr>
        <w:tab/>
        <w:t>Singapore</w:t>
      </w:r>
    </w:p>
    <w:p>
      <w:pPr>
        <w:tabs>
          <w:tab w:pos="10541" w:val="right"/>
        </w:tabs>
        <w:spacing w:after="20"/>
        <w:keepNext/>
      </w:pPr>
      <w:r>
        <w:rPr>
          <w:rFonts w:ascii="Arial" w:hAnsi="Arial"/>
          <w:i/>
        </w:rPr>
        <w:t>International Baccalaureate Diploma | Higher Level: Economics, Mathematics AA and Computer Science</w:t>
      </w:r>
      <w:r>
        <w:rPr>
          <w:rFonts w:ascii="Arial" w:hAnsi="Arial"/>
        </w:rPr>
        <w:tab/>
        <w:t>2021 - 2025</w:t>
      </w:r>
    </w:p>
    <w:p>
      <w:pPr>
        <w:pStyle w:val="CVSection"/>
        <w:keepNext/>
      </w:pPr>
      <w:r>
        <w:rPr>
          <w:rFonts w:ascii="Arial" w:hAnsi="Arial"/>
        </w:rPr>
        <w:t>PROFESSIONAL EXPERIENCE</w:t>
      </w:r>
    </w:p>
    <w:p>
      <w:pPr>
        <w:tabs>
          <w:tab w:pos="10541" w:val="right"/>
        </w:tabs>
        <w:spacing w:before="40" w:after="0"/>
        <w:keepNext/>
      </w:pPr>
      <w:r>
        <w:rPr>
          <w:rFonts w:ascii="Arial" w:hAnsi="Arial"/>
          <w:b/>
        </w:rPr>
        <w:t>SMIFS Limited - Research Department</w:t>
      </w:r>
      <w:r>
        <w:rPr>
          <w:rFonts w:ascii="Arial" w:hAnsi="Arial"/>
        </w:rPr>
        <w:tab/>
        <w:t>Kolkata, India</w:t>
      </w:r>
    </w:p>
    <w:p>
      <w:pPr>
        <w:tabs>
          <w:tab w:pos="10541" w:val="right"/>
        </w:tabs>
        <w:spacing w:after="20"/>
        <w:keepNext/>
      </w:pPr>
      <w:r>
        <w:rPr>
          <w:rFonts w:ascii="Arial" w:hAnsi="Arial"/>
          <w:i/>
        </w:rPr>
        <w:t>Macroeconomic and Equity Research Intern</w:t>
      </w:r>
      <w:r>
        <w:rPr>
          <w:rFonts w:ascii="Arial" w:hAnsi="Arial"/>
        </w:rPr>
        <w:tab/>
        <w:t>Jul 2024</w:t>
      </w:r>
    </w:p>
    <w:p>
      <w:pPr>
        <w:pStyle w:val="ListBullet"/>
        <w:spacing w:after="24" w:line="240" w:lineRule="auto"/>
        <w:ind w:left="259" w:hanging="202"/>
        <w:keepLines/>
      </w:pPr>
      <w:r>
        <w:rPr>
          <w:rFonts w:ascii="Arial" w:hAnsi="Arial"/>
        </w:rPr>
        <w:t>Drafted analysis for three institutional research notes and presentation decks covering Indian CPI/WPI inflation, the trade balance and RBI monetary policy, translating economic releases into concise commentary for internal and external use.</w:t>
      </w:r>
    </w:p>
    <w:p>
      <w:pPr>
        <w:pStyle w:val="ListBullet"/>
        <w:spacing w:after="24" w:line="240" w:lineRule="auto"/>
        <w:ind w:left="259" w:hanging="202"/>
        <w:keepLines/>
      </w:pPr>
      <w:r>
        <w:rPr>
          <w:rFonts w:ascii="Arial" w:hAnsi="Arial"/>
        </w:rPr>
        <w:t>Supported senior analysts with company and transaction screening, organising financial data into repeatable comparable-company and precedent-transaction frameworks for client-facing output.</w:t>
      </w:r>
    </w:p>
    <w:p>
      <w:pPr>
        <w:pStyle w:val="CVSection"/>
        <w:keepNext/>
      </w:pPr>
      <w:r>
        <w:rPr>
          <w:rFonts w:ascii="Arial" w:hAnsi="Arial"/>
        </w:rPr>
        <w:t>SELECTED TRANSACTION AND VALUATION EXPERIENCE</w:t>
      </w:r>
    </w:p>
    <w:p>
      <w:pPr>
        <w:tabs>
          <w:tab w:pos="10541" w:val="right"/>
        </w:tabs>
        <w:spacing w:before="40" w:after="0"/>
        <w:keepNext/>
      </w:pPr>
      <w:r>
        <w:rPr>
          <w:rFonts w:ascii="Arial" w:hAnsi="Arial"/>
          <w:b/>
        </w:rPr>
        <w:t>OCS / Mitie - £3.1bn Acquisition Analysis</w:t>
      </w:r>
      <w:r>
        <w:rPr>
          <w:rFonts w:ascii="Arial" w:hAnsi="Arial"/>
        </w:rPr>
        <w:tab/>
        <w:t>Independent Research</w:t>
      </w:r>
    </w:p>
    <w:p>
      <w:pPr>
        <w:tabs>
          <w:tab w:pos="10541" w:val="right"/>
        </w:tabs>
        <w:spacing w:after="20"/>
        <w:keepNext/>
      </w:pPr>
      <w:r>
        <w:rPr>
          <w:rFonts w:ascii="Arial" w:hAnsi="Arial"/>
          <w:i/>
        </w:rPr>
        <w:t>Transaction Analysis</w:t>
      </w:r>
      <w:r>
        <w:rPr>
          <w:rFonts w:ascii="Arial" w:hAnsi="Arial"/>
        </w:rPr>
        <w:tab/>
        <w:t>Sep 2026</w:t>
      </w:r>
    </w:p>
    <w:p>
      <w:pPr>
        <w:pStyle w:val="ListBullet"/>
        <w:spacing w:after="24" w:line="240" w:lineRule="auto"/>
        <w:ind w:left="259" w:hanging="202"/>
        <w:keepLines/>
      </w:pPr>
      <w:r>
        <w:rPr>
          <w:rFonts w:ascii="Arial" w:hAnsi="Arial"/>
        </w:rPr>
        <w:t>Evaluated 218.5p cash consideration and 221.6p headline value against Mitie's 151.0p unaffected price, quantifying a 46.8% premium and assessing strategic rationale, financing and execution risk.</w:t>
      </w:r>
    </w:p>
    <w:p>
      <w:pPr>
        <w:pStyle w:val="ListBullet"/>
        <w:spacing w:after="24" w:line="240" w:lineRule="auto"/>
        <w:ind w:left="259" w:hanging="202"/>
        <w:keepLines/>
      </w:pPr>
      <w:r>
        <w:rPr>
          <w:rFonts w:ascii="Arial" w:hAnsi="Arial"/>
        </w:rPr>
        <w:t>Modelled £50m-£150m illustrative synergy cases, leverage and deleveraging paths, separating publicly disclosed terms from analytical assumptions to judge whether the premium was defensible.</w:t>
      </w:r>
    </w:p>
    <w:p>
      <w:pPr>
        <w:tabs>
          <w:tab w:pos="10541" w:val="right"/>
        </w:tabs>
        <w:spacing w:before="40" w:after="0"/>
        <w:keepNext/>
      </w:pPr>
      <w:r>
        <w:rPr>
          <w:rFonts w:ascii="Arial" w:hAnsi="Arial"/>
          <w:b/>
        </w:rPr>
        <w:t>Thames Water - Restructuring and Recapitalisation</w:t>
      </w:r>
      <w:r>
        <w:rPr>
          <w:rFonts w:ascii="Arial" w:hAnsi="Arial"/>
        </w:rPr>
        <w:tab/>
        <w:t>Independent Research</w:t>
      </w:r>
    </w:p>
    <w:p>
      <w:pPr>
        <w:tabs>
          <w:tab w:pos="10541" w:val="right"/>
        </w:tabs>
        <w:spacing w:after="20"/>
        <w:keepNext/>
      </w:pPr>
      <w:r>
        <w:rPr>
          <w:rFonts w:ascii="Arial" w:hAnsi="Arial"/>
          <w:i/>
        </w:rPr>
        <w:t>Restructuring Analysis</w:t>
      </w:r>
      <w:r>
        <w:rPr>
          <w:rFonts w:ascii="Arial" w:hAnsi="Arial"/>
        </w:rPr>
        <w:tab/>
        <w:t>Mar 2026</w:t>
      </w:r>
    </w:p>
    <w:p>
      <w:pPr>
        <w:pStyle w:val="ListBullet"/>
        <w:spacing w:after="24" w:line="240" w:lineRule="auto"/>
        <w:ind w:left="259" w:hanging="202"/>
        <w:keepLines/>
      </w:pPr>
      <w:r>
        <w:rPr>
          <w:rFonts w:ascii="Arial" w:hAnsi="Arial"/>
        </w:rPr>
        <w:t>Reconstructed the creditor waterfall for a proposed £3.35bn equity injection and £3.25bn day-one debt structure, testing recoveries under a 30% Class A haircut and full junior-capital write-off.</w:t>
      </w:r>
    </w:p>
    <w:p>
      <w:pPr>
        <w:tabs>
          <w:tab w:pos="10541" w:val="right"/>
        </w:tabs>
        <w:spacing w:before="40" w:after="0"/>
        <w:keepNext/>
      </w:pPr>
      <w:r>
        <w:rPr>
          <w:rFonts w:ascii="Arial" w:hAnsi="Arial"/>
          <w:b/>
        </w:rPr>
        <w:t>ITC Limited - Equity Research and Valuation</w:t>
      </w:r>
      <w:r>
        <w:rPr>
          <w:rFonts w:ascii="Arial" w:hAnsi="Arial"/>
        </w:rPr>
        <w:tab/>
        <w:t>Independent Research</w:t>
      </w:r>
    </w:p>
    <w:p>
      <w:pPr>
        <w:tabs>
          <w:tab w:pos="10541" w:val="right"/>
        </w:tabs>
        <w:spacing w:after="20"/>
        <w:keepNext/>
      </w:pPr>
      <w:r>
        <w:rPr>
          <w:rFonts w:ascii="Arial" w:hAnsi="Arial"/>
          <w:i/>
        </w:rPr>
        <w:t>Equity Research</w:t>
      </w:r>
      <w:r>
        <w:rPr>
          <w:rFonts w:ascii="Arial" w:hAnsi="Arial"/>
        </w:rPr>
        <w:tab/>
        <w:t>Mar 2025 - Sep 2026</w:t>
      </w:r>
    </w:p>
    <w:p>
      <w:pPr>
        <w:pStyle w:val="ListBullet"/>
        <w:spacing w:after="24" w:line="240" w:lineRule="auto"/>
        <w:ind w:left="259" w:hanging="202"/>
        <w:keepLines/>
      </w:pPr>
      <w:r>
        <w:rPr>
          <w:rFonts w:ascii="Arial" w:hAnsi="Arial"/>
        </w:rPr>
        <w:t>Built a five-year segment model, FCFF DCF, FCFE/dividend analysis and SOTP valuation; triangulated a ₹372 target against a ₹263.50 reference price, implying approximately 41% upside.</w:t>
      </w:r>
    </w:p>
    <w:p>
      <w:pPr>
        <w:pStyle w:val="ListBullet"/>
        <w:spacing w:after="24" w:line="240" w:lineRule="auto"/>
        <w:ind w:left="259" w:hanging="202"/>
        <w:keepLines/>
      </w:pPr>
      <w:r>
        <w:rPr>
          <w:rFonts w:ascii="Arial" w:hAnsi="Arial"/>
        </w:rPr>
        <w:t>Analysed 65 monthly ITC, NIFTY and RBI observations using multiple linear regression, interpreting a 0.94 market beta and R-squared of 0.356 while distinguishing correlation from causation.</w:t>
      </w:r>
    </w:p>
    <w:p>
      <w:pPr>
        <w:pStyle w:val="CVSection"/>
        <w:keepNext/>
      </w:pPr>
      <w:r>
        <w:rPr>
          <w:rFonts w:ascii="Arial" w:hAnsi="Arial"/>
        </w:rPr>
        <w:t>LEADERSHIP</w:t>
      </w:r>
    </w:p>
    <w:p>
      <w:pPr>
        <w:tabs>
          <w:tab w:pos="10541" w:val="right"/>
        </w:tabs>
        <w:spacing w:before="40" w:after="0"/>
        <w:keepNext/>
      </w:pPr>
      <w:r>
        <w:rPr>
          <w:rFonts w:ascii="Arial" w:hAnsi="Arial"/>
          <w:b/>
        </w:rPr>
        <w:t>JAAGO Global Concern, UWCSEA</w:t>
      </w:r>
      <w:r>
        <w:rPr>
          <w:rFonts w:ascii="Arial" w:hAnsi="Arial"/>
        </w:rPr>
        <w:tab/>
        <w:t>Singapore</w:t>
      </w:r>
    </w:p>
    <w:p>
      <w:pPr>
        <w:tabs>
          <w:tab w:pos="10541" w:val="right"/>
        </w:tabs>
        <w:spacing w:after="20"/>
        <w:keepNext/>
      </w:pPr>
      <w:r>
        <w:rPr>
          <w:rFonts w:ascii="Arial" w:hAnsi="Arial"/>
          <w:i/>
        </w:rPr>
        <w:t>Elected Chairperson and Executive Co-Leader</w:t>
      </w:r>
      <w:r>
        <w:rPr>
          <w:rFonts w:ascii="Arial" w:hAnsi="Arial"/>
        </w:rPr>
        <w:tab/>
        <w:t>Sep 2023 - Aug 2024</w:t>
      </w:r>
    </w:p>
    <w:p>
      <w:pPr>
        <w:pStyle w:val="ListBullet"/>
        <w:spacing w:after="24" w:line="240" w:lineRule="auto"/>
        <w:ind w:left="259" w:hanging="202"/>
        <w:keepLines/>
      </w:pPr>
      <w:r>
        <w:rPr>
          <w:rFonts w:ascii="Arial" w:hAnsi="Arial"/>
        </w:rPr>
        <w:t>Led a 12-person committee through a compressed approval and planning process to deliver a first-time fundraising gala, raising SGD2,100 toward tuition support for 60 students in Bangladesh.</w:t>
      </w:r>
    </w:p>
    <w:p>
      <w:pPr>
        <w:pStyle w:val="ListBullet"/>
        <w:spacing w:after="24" w:line="240" w:lineRule="auto"/>
        <w:ind w:left="259" w:hanging="202"/>
        <w:keepLines/>
      </w:pPr>
      <w:r>
        <w:rPr>
          <w:rFonts w:ascii="Arial" w:hAnsi="Arial"/>
        </w:rPr>
        <w:t>Presented the case for sustained funding to stakeholders and secured multi-year partner commitments while coordinating advertising, resourcing and event delivery.</w:t>
      </w:r>
    </w:p>
    <w:p>
      <w:pPr>
        <w:pStyle w:val="CVSection"/>
        <w:keepNext/>
      </w:pPr>
      <w:r>
        <w:rPr>
          <w:rFonts w:ascii="Arial" w:hAnsi="Arial"/>
        </w:rPr>
        <w:t>SKILLS AND INTERESTS</w:t>
      </w:r>
    </w:p>
    <w:p>
      <w:pPr>
        <w:spacing w:after="20"/>
      </w:pPr>
      <w:r>
        <w:rPr>
          <w:rFonts w:ascii="Arial" w:hAnsi="Arial"/>
          <w:b/>
        </w:rPr>
        <w:t xml:space="preserve">Technical: </w:t>
      </w:r>
      <w:r>
        <w:rPr>
          <w:rFonts w:ascii="Arial" w:hAnsi="Arial"/>
        </w:rPr>
        <w:t>Excel (financial modelling, XLOOKUP and advanced formulas), PowerPoint, Word, R (tidyquant and regression), SQL; Bloomberg Terminal (working knowledge).</w:t>
      </w:r>
    </w:p>
    <w:p>
      <w:r>
        <w:rPr>
          <w:rFonts w:ascii="Arial" w:hAnsi="Arial"/>
          <w:b/>
        </w:rPr>
        <w:t xml:space="preserve">Languages: </w:t>
      </w:r>
      <w:r>
        <w:rPr>
          <w:rFonts w:ascii="Arial" w:hAnsi="Arial"/>
        </w:rPr>
        <w:t xml:space="preserve">English and Bengali (native); Mandarin Chinese (intermediate).  </w:t>
      </w:r>
      <w:r>
        <w:rPr>
          <w:rFonts w:ascii="Arial" w:hAnsi="Arial"/>
          <w:b/>
        </w:rPr>
        <w:t xml:space="preserve">Interests: </w:t>
      </w:r>
      <w:r>
        <w:rPr>
          <w:rFonts w:ascii="Arial" w:hAnsi="Arial"/>
        </w:rPr>
        <w:t>Tennis, football, chess and drums.</w:t>
      </w:r>
    </w:p>
    <w:sectPr w:rsidR="00FC693F" w:rsidRPr="0006063C" w:rsidSect="00034616">
      <w:pgSz w:w="12240" w:h="15840"/>
      <w:pgMar w:top="749" w:right="835" w:bottom="619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spacing w:before="120" w:after="70"/>
      <w:pBdr>
        <w:bottom w:val="single" w:sz="4" w:space="2" w:color="9A9A9A"/>
      </w:pBdr>
    </w:pPr>
    <w:rPr>
      <w:rFonts w:ascii="Arial" w:hAnsi="Arial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yush.n.chakraborty@gmail.com" TargetMode="External"/><Relationship Id="rId10" Type="http://schemas.openxmlformats.org/officeDocument/2006/relationships/hyperlink" Target="https://www.linkedin.com/in/ayushchakr/" TargetMode="External"/><Relationship Id="rId11" Type="http://schemas.openxmlformats.org/officeDocument/2006/relationships/hyperlink" Target="https://ayushchakrabort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Ayush Chakraborty CV</dc:title>
  <dc:subject>Investment banking and finance curriculum vitae</dc:subject>
  <dc:creator>Ayush Chakraborty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