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Singapore finances public investment</w:t>
      </w:r>
    </w:p>
    <w:p>
      <w:pPr>
        <w:pStyle w:val="Subtitle"/>
      </w:pPr>
      <w:r>
        <w:t>Tax revenue public wealth and lessons for the United Kingdom</w:t>
      </w:r>
    </w:p>
    <w:p>
      <w:r>
        <w:t>Ayush Chakraborty | Rough research draft | 10 September 2026</w:t>
      </w:r>
    </w:p>
    <w:p>
      <w:r>
        <w:t>Draft status: This paper develops a provisional argument. It does not yet contain the proposed comparative dataset or completed productivity analysis. Bracketed notes identify evidence to add before publication. Institutional sources are listed at the end; dated policy examples should not be read as a statement of every current rule.</w:t>
      </w:r>
    </w:p>
    <w:p>
      <w:pPr>
        <w:pStyle w:val="Heading1"/>
      </w:pPr>
      <w:r>
        <w:t>Introduction</w:t>
      </w:r>
    </w:p>
    <w:p>
      <w:r>
        <w:t>How can Singapore provide extensive public infrastructure while maintaining relatively low personal income tax rates? The question appears to suggest a contradiction: public infrastructure requires substantial funding, yet the most visible tax on household earnings seems comparatively modest. Resolving that puzzle requires examining the full fiscal system, including the resources the government owns and the responsibilities that households finance themselves.</w:t>
      </w:r>
    </w:p>
    <w:p>
      <w:r>
        <w:t>This paper asks how Singapore’s combination of taxation, public asset management and fiscal institutions supports infrastructure investment, and which lessons are transferable to the United Kingdom. Its provisional argument is that personal income tax rates explain only a small part of a state’s capacity to invest. The breadth of its revenue base, returns on accumulated assets, existing spending commitments and the quality of investment decisions all matter.</w:t>
      </w:r>
    </w:p>
    <w:p>
      <w:r>
        <w:t>The comparison also raises a distinction between financing infrastructure and generating prosperity. A government may be able to build an expensive transport network without demonstrating that every project raises productivity. The relevant test is whether public spending improves access, reliability and economic opportunity enough to justify its full cost. Singapore therefore provides a case through which to investigate these mechanisms, rather than a ready-made template for another country.</w:t>
      </w:r>
    </w:p>
    <w:p>
      <w:pPr>
        <w:pStyle w:val="Heading1"/>
      </w:pPr>
      <w:r>
        <w:t>Looking beyond personal income tax</w:t>
      </w:r>
    </w:p>
    <w:p>
      <w:r>
        <w:t>A tax rate is a percentage applied to a defined tax base. Revenue depends on both, as well as exemptions, compliance and changes in economic behaviour. A relatively low statutory rate can still raise substantial revenue where taxable incomes or profits are large. Conversely, a high headline rate does not guarantee a large or stable stream of receipts.</w:t>
      </w:r>
    </w:p>
    <w:p>
      <w:r>
        <w:t>Singapore’s personal income tax schedule is progressive. Its existence alone does not establish the overall burden on households, since the comparison also needs consumption taxes, other charges, contributions and transfers. The final version should calculate effective income tax liabilities at comparable earnings positions, rather than comparing only the highest marginal rates. [1]</w:t>
      </w:r>
    </w:p>
    <w:p>
      <w:r>
        <w:t>The revenue analysis should separate personal income tax, corporate income tax, consumption taxes and other receipts. For the UK, National Insurance and taxes raised at local level also need explicit treatment. Investment income should appear separately from taxation. Borrowing finances a gap between receipts and spending; it is not another form of tax revenue.</w:t>
      </w:r>
    </w:p>
    <w:p>
      <w:r>
        <w:t>The economic question is whether the mix provides adequate and dependable resources without imposing excessive costs on work, investment or consumption. Corporate receipts can expose a government to fluctuations in profits, while consumption taxes raise distributional questions because households differ in how much of their income they spend. These effects should be assessed alongside transfers and services received. A low income tax rate cannot, by itself, establish that the entire fiscal system is either efficient or fair.</w:t>
      </w:r>
    </w:p>
    <w:p>
      <w:r>
        <w:t>[Evidence to add: comparable revenue composition charts for selected years between 2010 and 2024, showing both shares of receipts and percentages of GDP. Reconcile the coverage of central and general government before comparing totals.]</w:t>
      </w:r>
    </w:p>
    <w:p>
      <w:pPr>
        <w:pStyle w:val="Heading1"/>
      </w:pPr>
      <w:r>
        <w:t>Public wealth as a source of fiscal capacity</w:t>
      </w:r>
    </w:p>
    <w:p>
      <w:r>
        <w:t>Singapore’s Net Investment Returns Contribution provides an institutional explanation for spending capacity beyond taxation. The framework permits the budget to use up to half of expected long-term real returns on relevant net assets invested by GIC, MAS and Temasek, together with a separate contribution from net investment income on remaining past-reserve assets. The Ministry of Finance explains that the use of expected long-term returns helps moderate the effect of annual market fluctuations on spending. This is not a rule allowing half the reserves themselves to be spent. [2]</w:t>
      </w:r>
    </w:p>
    <w:p>
      <w:r>
        <w:t>The implication is that accumulated wealth can support a flow of budget resources. However, it does not follow that creating an investment fund automatically creates fiscal space. A government must first obtain assets, and borrowing to acquire them creates a corresponding liability. Any assessment of such a strategy must consider financing costs, investment risk and what alternative uses of the funds have been forgone.</w:t>
      </w:r>
    </w:p>
    <w:p>
      <w:r>
        <w:t>Singapore defines its reserves with reference to assets minus liabilities, and its published explanation includes physical and financial assets. It also identifies government securities issued to the CPF Board as liabilities. This matters because comparing countries using gross public debt alone can obscure the assets held against that debt. The full size of Singapore’s reserves is not publicly disclosed, so a precise comparison of national public net worth would exceed the available evidence. [3]</w:t>
      </w:r>
    </w:p>
    <w:p>
      <w:r>
        <w:t>Land should also be analysed as an asset, rather than treated as an unlimited annual revenue stream. Selling or leasing rights over a public asset changes what the state owns and the future income it can receive. The Singapore case needs a documented account of how land-sale proceeds are protected within the reserves framework and how subsequent investment returns enter the budget. Adding sale proceeds and the same underlying wealth again as current resources would exaggerate fiscal capacity. [Source check to complete: official treatment of land-sale proceeds and the relevant accounting boundaries.]</w:t>
      </w:r>
    </w:p>
    <w:p>
      <w:r>
        <w:t>This suggests a broader principle: public finance should consider the quality of a government’s balance sheet as well as its annual deficit. Selling an asset may improve cash flow while reducing future income. Equally, retaining an unproductive asset is not automatically preferable to selling it. The decision depends on its social value, financial return and the value of alternative uses.</w:t>
      </w:r>
    </w:p>
    <w:p>
      <w:pPr>
        <w:pStyle w:val="Heading1"/>
      </w:pPr>
      <w:r>
        <w:t>Household financing and public responsibilities</w:t>
      </w:r>
    </w:p>
    <w:p>
      <w:r>
        <w:t>The allocation of responsibilities between government and households affects the resources available for other spending. Singapore’s CPF is a savings system with accounts used for retirement, housing and healthcare. These contributions should not be presented as freely spendable government tax revenue. They represent savings and claims held for members, even though the financing arrangements connect them to the wider public balance sheet. [4]</w:t>
      </w:r>
    </w:p>
    <w:p>
      <w:r>
        <w:t>This distinction changes how the initial tax comparison should be interpreted. A household may pay relatively little personal income tax while setting aside income through compulsory saving and meeting some costs directly. Measuring income tax alone leaves out those commitments. At the same time, treating savings exactly like tax would ignore the assets and entitlements that members receive.</w:t>
      </w:r>
    </w:p>
    <w:p>
      <w:r>
        <w:t>A fair comparison must therefore examine both household disposable resources and the services or claims acquired in return. It should distinguish citizens, permanent residents and other residents where eligibility differs. For the UK, the analysis should examine how health services, pensions and social support are financed through pooled public arrangements. The project should evaluate differences in coverage and risk-sharing instead of assuming that lower budget expenditure proves lower overall social cost.</w:t>
      </w:r>
    </w:p>
    <w:p>
      <w:r>
        <w:t>There is also a trade-off between present flexibility and future security. Compulsory saving can build resources for later needs, while reducing income immediately available for consumption. Publicly financed provision pools risks differently, but requires sufficient continuing revenue. Neither arrangement eliminates the underlying cost of housing, healthcare or retirement; each distributes that cost across people and time in a different way.</w:t>
      </w:r>
    </w:p>
    <w:p>
      <w:pPr>
        <w:pStyle w:val="Heading1"/>
      </w:pPr>
      <w:r>
        <w:t>From infrastructure spending to productivity</w:t>
      </w:r>
    </w:p>
    <w:p>
      <w:r>
        <w:t>Public investment can increase productivity when it enables workers and firms to use their time and resources more effectively. A reliable transport network can widen the set of jobs a worker can reach and the pool of employees available to a business. Better connections can also allow firms to interact more easily with suppliers and customers. These are plausible mechanisms, not findings established by this draft.</w:t>
      </w:r>
    </w:p>
    <w:p>
      <w:r>
        <w:t>Urban transport is a useful focused case because it connects a visible public service with measurable outcomes. The Singapore analysis should investigate how transport investment interacts with housing and employment locations. A station’s economic value depends partly on what people can reach from it. Spending on rail without suitable access, sufficient demand or complementary development may deliver much smaller benefits than the construction budget suggests.</w:t>
      </w:r>
    </w:p>
    <w:p>
      <w:r>
        <w:t>The final paper should use travel accessibility, reliability and utilisation alongside spending. It should also consider operating subsidies, maintenance and replacement costs. A network that is inexpensive to build but costly to maintain may be less attractive than its initial price suggests. Conversely, maintenance spending may provide greater benefits than a new project even when it attracts less public attention.</w:t>
      </w:r>
    </w:p>
    <w:p>
      <w:r>
        <w:t>The proposed feedback mechanism is conditional: useful public investment can support higher output and incomes, which may expand the future tax base and make further investment easier to finance. This cycle can fail if projects are poorly selected, costs escalate or benefits accrue without generating enough additional public receipts. Social benefits and fiscal returns are not identical. A valuable project does not necessarily pay for itself through additional tax.</w:t>
      </w:r>
    </w:p>
    <w:p>
      <w:r>
        <w:t>[Evidence to add: a Singapore urban transport example and a London comparator, with consistent measures of service outcomes and full costs where available. Do not infer national productivity effects from network size or appearance alone.]</w:t>
      </w:r>
    </w:p>
    <w:p>
      <w:pPr>
        <w:pStyle w:val="Heading1"/>
      </w:pPr>
      <w:r>
        <w:t>The United Kingdom comparison</w:t>
      </w:r>
    </w:p>
    <w:p>
      <w:r>
        <w:t>The UK comparison should begin with the purposes its fiscal system is expected to serve. Raising revenue is one function; redistributing resources, pooling risks and stabilising demand are others. An assessment concerned only with the share allocated to construction would miss these objectives. Healthcare and education expenditure may support productive capacity even when classified as current spending.</w:t>
      </w:r>
    </w:p>
    <w:p>
      <w:r>
        <w:t>The Autumn Budget 2024 provides a dated illustration of the UK’s stated fiscal principles. It introduced a stability rule aimed at bringing the current budget into balance and an investment rule based on reducing public sector net financial liabilities relative to GDP. The distinction recognised a role for borrowing to invest while constraining the financing of day-to-day expenditure. The same budget identified income tax, National Insurance and VAT within its receipts breakdown, and major service and social spending commitments within expenditure. These are policy plans and forecasts from that budget, not evidence that the targets were subsequently achieved. [5]</w:t>
      </w:r>
    </w:p>
    <w:p>
      <w:r>
        <w:t>The analytical issue is how these commitments and financing conditions affect investment choices. Where debt interest or essential service costs absorb more resources, government must respond through some combination of revenue, spending priorities and borrowing. The scale of that constraint needs to be measured; it should not be attributed automatically to waste. Cutting services can itself carry economic and social costs.</w:t>
      </w:r>
    </w:p>
    <w:p>
      <w:r>
        <w:t>Singapore and the UK also face different geographical problems. A city-state and a country containing multiple cities, towns and rural areas cannot be expected to provide infrastructure under identical conditions. Density, existing networks, land constraints and project complexity should enter the explanation. London offers a closer urban comparator, although it remains embedded in a national fiscal system and is not an independent state.</w:t>
      </w:r>
    </w:p>
    <w:p>
      <w:r>
        <w:t>The strongest comparison is consequently institutional. Does the budgeting process protect valuable maintenance? Are project costs and benefits reassessed transparently? Do financing commitments last long enough for delivery? Are land use and transport decisions coordinated? Answers to these questions would be more informative than a claim that one country simply gets more for its taxes.</w:t>
      </w:r>
    </w:p>
    <w:p>
      <w:pPr>
        <w:pStyle w:val="Heading1"/>
      </w:pPr>
      <w:r>
        <w:t>Testing the explanation</w:t>
      </w:r>
    </w:p>
    <w:p>
      <w:r>
        <w:t>The empirical stage will initially cover 2010 to 2024, subject to compatible data. It will distinguish actual outcomes from estimates, align fiscal and calendar periods, and record changes in classifications. Fiscal amounts will be expressed relative to GDP; real spending and productivity trends will use appropriate price adjustments. Singapore’s development expenditure will not be equated mechanically with UK net investment.</w:t>
      </w:r>
    </w:p>
    <w:p>
      <w:r>
        <w:t>One useful accounting exercise is to remove Singapore’s NIRC while holding other receipts and spending unchanged. The budget balance would deteriorate by the removed contribution. This need not produce an actual deficit if the initial surplus were larger. Reporting the change as a share of GDP and tax receipts would show the contribution’s scale without claiming to forecast a world in which Singapore had never accumulated reserves.</w:t>
      </w:r>
    </w:p>
    <w:p>
      <w:r>
        <w:t>A further illustrative calculation could divide the contribution by personal income tax receipts to show its size relative to that source of funding. This would not establish how far tax rates would need to rise: behavioural responses, thresholds and changes in other policies make that a separate question. The exercise is useful precisely because its assumptions are narrow and explicit.</w:t>
      </w:r>
    </w:p>
    <w:p>
      <w:r>
        <w:t>Productivity analysis will distinguish real output per hour from GDP per person. The latter also reflects employment and working time. Even a close relationship between investment and productivity would not prove causation: richer economies can afford more infrastructure, and both variables may respond to trade, skills or industrial composition. The case studies can support a mechanism, but cannot isolate a national causal effect on their own.</w:t>
      </w:r>
    </w:p>
    <w:p>
      <w:pPr>
        <w:pStyle w:val="Heading1"/>
      </w:pPr>
      <w:r>
        <w:t>Implications and provisional conclusion</w:t>
      </w:r>
    </w:p>
    <w:p>
      <w:r>
        <w:t>The UK could investigate lessons in long-term asset management, coordination and project delivery without assuming that Singapore’s tax rates are transferable. Building a stock of public financial wealth involves a financing choice and an opportunity cost. Reducing tax rates before replacing the lost receipts could weaken the very investment capacity the reform intends to strengthen.</w:t>
      </w:r>
    </w:p>
    <w:p>
      <w:r>
        <w:t>A more defensible policy direction is to assess public assets and liabilities together, protect projects with credible benefits across budget cycles, and publish evidence on delivery and maintenance. Land-value capture may also warrant investigation where public investment raises nearby property values. Its effectiveness would depend on valuation, legal design, distributional effects and whether it discourages useful development.</w:t>
      </w:r>
    </w:p>
    <w:p>
      <w:r>
        <w:t>The initial puzzle therefore becomes a question about the whole fiscal system. Singapore illustrates how taxation can coexist with public wealth and household saving arrangements to support spending capacity. Whether that capacity produces high productivity depends on the use of funds and the economic environment. The next stage of the research must establish the size of each contribution and test the infrastructure mechanism against observable outcomes.</w:t>
      </w:r>
    </w:p>
    <w:p>
      <w:r>
        <w:t>The provisional conclusion is that headline income tax rates are an inadequate guide to a government’s ability to invest. What matters is the combination of recurring resources, inherited assets and obligations, and the quality of decisions about where money goes. The UK’s useful lessons are likely to concern those relationships, rather than a simple attempt to copy a lower tax rate.</w:t>
      </w:r>
    </w:p>
    <w:p>
      <w:pPr>
        <w:pStyle w:val="Heading1"/>
        <w:pageBreakBefore/>
      </w:pPr>
      <w:r>
        <w:t>Sources consulted</w:t>
      </w:r>
    </w:p>
    <w:p>
      <w:pPr>
        <w:keepLines/>
      </w:pPr>
      <w:r>
        <w:t xml:space="preserve">[1] IRAS. Individual Income Tax rates. Accessed 10 September 2026. </w:t>
      </w:r>
      <w:hyperlink r:id="rId9">
        <w:r>
          <w:rPr>
            <w:u w:val="single"/>
          </w:rPr>
          <w:t>Open source</w:t>
        </w:r>
      </w:hyperlink>
    </w:p>
    <w:p>
      <w:pPr>
        <w:keepLines/>
      </w:pPr>
      <w:r>
        <w:t xml:space="preserve">[2] Singapore Ministry of Finance. Net Investment Returns Contribution. Accessed 10 September 2026. </w:t>
      </w:r>
      <w:hyperlink r:id="rId10">
        <w:r>
          <w:rPr>
            <w:u w:val="single"/>
          </w:rPr>
          <w:t>Open source</w:t>
        </w:r>
      </w:hyperlink>
    </w:p>
    <w:p>
      <w:pPr>
        <w:keepLines/>
      </w:pPr>
      <w:r>
        <w:t xml:space="preserve">[3] Singapore Ministry of Finance. What are Singapore’s reserves. Accessed 10 September 2026. </w:t>
      </w:r>
      <w:hyperlink r:id="rId11">
        <w:r>
          <w:rPr>
            <w:u w:val="single"/>
          </w:rPr>
          <w:t>Open source</w:t>
        </w:r>
      </w:hyperlink>
    </w:p>
    <w:p>
      <w:pPr>
        <w:keepLines/>
      </w:pPr>
      <w:r>
        <w:t xml:space="preserve">[4] CPF Board. CPF overview. Accessed 10 September 2026. </w:t>
      </w:r>
      <w:hyperlink r:id="rId12">
        <w:r>
          <w:rPr>
            <w:u w:val="single"/>
          </w:rPr>
          <w:t>Open source</w:t>
        </w:r>
      </w:hyperlink>
    </w:p>
    <w:p>
      <w:pPr>
        <w:keepLines/>
      </w:pPr>
      <w:r>
        <w:t xml:space="preserve">[5] HM Treasury. Autumn Budget 2024 especially the fiscal framework and Annex D. Accessed 10 September 2026. </w:t>
      </w:r>
      <w:hyperlink r:id="rId13">
        <w:r>
          <w:rPr>
            <w:u w:val="single"/>
          </w:rPr>
          <w:t>Open source</w:t>
        </w:r>
      </w:hyperlink>
    </w:p>
    <w:p>
      <w:pPr>
        <w:pStyle w:val="Heading1"/>
      </w:pPr>
      <w:r>
        <w:t>Further evidence needed</w:t>
      </w:r>
    </w:p>
    <w:p>
      <w:r>
        <w:t>Collect annual revenue and expenditure data from Singapore MOF and SingStat and from HM Treasury and ONS; verify land-sale and infrastructure-borrowing rules; obtain LTA and London transport evidence; construct comparable productivity series; and add independent evaluation of costs, distributional outcomes and delivery. The institutional sources above establish selected arrangements, not the full historical or causal argument.</w:t>
      </w:r>
    </w:p>
    <w:sectPr w:rsidR="00FC693F" w:rsidRPr="0006063C" w:rsidSect="00034616">
      <w:footerReference w:type="default" r:id="rId14"/>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ras.gov.sg/taxes/individual-income-tax/basics-of-individual-income-tax/tax-residency-and-tax-rates/individual-income-tax-rates" TargetMode="External"/><Relationship Id="rId10" Type="http://schemas.openxmlformats.org/officeDocument/2006/relationships/hyperlink" Target="https://www.mof.gov.sg/policies/reserves/net-investment-returns-contribution/" TargetMode="External"/><Relationship Id="rId11" Type="http://schemas.openxmlformats.org/officeDocument/2006/relationships/hyperlink" Target="https://www.mof.gov.sg/policies/reserves/what-are-singapores-reserves/" TargetMode="External"/><Relationship Id="rId12" Type="http://schemas.openxmlformats.org/officeDocument/2006/relationships/hyperlink" Target="https://www.cpf.gov.sg/member/cpf-overview" TargetMode="External"/><Relationship Id="rId13" Type="http://schemas.openxmlformats.org/officeDocument/2006/relationships/hyperlink" Target="https://assets.publishing.service.gov.uk/media/672232d010b0d582ee8c4905/Autumn_Budget_2024__web_accessible_.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