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5B94"/>
          <w:sz w:val="40"/>
        </w:rPr>
        <w:t>VeriCare AI — Comprehensive Project Specification &amp; Implementation Blueprint</w:t>
      </w:r>
    </w:p>
    <w:p>
      <w:pPr>
        <w:spacing w:after="280"/>
      </w:pPr>
      <w:r>
        <w:rPr>
          <w:rFonts w:ascii="Arial" w:hAnsi="Arial"/>
          <w:color w:val="646E78"/>
          <w:sz w:val="22"/>
        </w:rPr>
        <w:t>Autonomous Multi-Agent Clinical Verification, RAG Citation Grounding &amp; Cryptographic Ledger Anchoring</w:t>
        <w:br/>
      </w:r>
      <w:r>
        <w:rPr>
          <w:rFonts w:ascii="Arial" w:hAnsi="Arial"/>
          <w:i/>
          <w:color w:val="787878"/>
          <w:sz w:val="19"/>
        </w:rPr>
        <w:t>Document Version: 1.0.0 | Status: Active Engineering Roadmap | Target: ShivaTech 2026 CBII Incubation Sprint</w:t>
      </w:r>
    </w:p>
    <w:p>
      <w:pPr>
        <w:spacing w:after="240"/>
      </w:pPr>
      <w:r>
        <w:rPr>
          <w:color w:val="C8D2DC"/>
        </w:rPr>
        <w:t>――――――――――――――――――――――――――――――――――――――――――――――――――――――――――</w:t>
      </w:r>
    </w:p>
    <w:p>
      <w:pPr>
        <w:keepNext/>
        <w:spacing w:before="280" w:after="80"/>
      </w:pPr>
      <w:r>
        <w:rPr>
          <w:rFonts w:ascii="Arial" w:hAnsi="Arial"/>
          <w:b/>
          <w:color w:val="005B94"/>
          <w:sz w:val="28"/>
        </w:rPr>
        <w:t>1. Executive Overview &amp; Problem Statement</w:t>
      </w:r>
    </w:p>
    <w:p>
      <w:pPr>
        <w:spacing w:after="80" w:line="276" w:lineRule="auto"/>
      </w:pPr>
      <w:r>
        <w:rPr>
          <w:rFonts w:ascii="Arial" w:hAnsi="Arial"/>
          <w:b/>
          <w:color w:val="1E293B"/>
          <w:sz w:val="20"/>
        </w:rPr>
        <w:t xml:space="preserve">The Crisis: </w:t>
      </w:r>
      <w:r>
        <w:rPr>
          <w:rFonts w:ascii="Arial" w:hAnsi="Arial"/>
          <w:color w:val="282828"/>
          <w:sz w:val="20"/>
        </w:rPr>
        <w:t>Large Language Models (LLMs) are rapidly entering hospital electronic health records (EHR) pipelines to automate patient discharge summaries, triage documentation, and clinical lab synthesis. While LLMs save clinical staff hundreds of administrative hours, they introduce an intolerable failure mode in medicine: hallucinations (generating plausible but clinically dangerous diagnostic inaccuracies, incorrect drug dosages, or fabricated lab baselines). Furthermore, existing medical AI systems operate as black-box generative models without cryptographic auditability, creating severe medico-legal liabilities under regulatory frameworks like HIPAA, GDPR, and India's DPDP Act.</w:t>
      </w:r>
    </w:p>
    <w:p>
      <w:pPr>
        <w:spacing w:after="80" w:line="276" w:lineRule="auto"/>
      </w:pPr>
      <w:r>
        <w:rPr>
          <w:rFonts w:ascii="Arial" w:hAnsi="Arial"/>
          <w:b/>
          <w:color w:val="1E293B"/>
          <w:sz w:val="20"/>
        </w:rPr>
        <w:t xml:space="preserve">The VeriCare Solution: </w:t>
      </w:r>
      <w:r>
        <w:rPr>
          <w:rFonts w:ascii="Arial" w:hAnsi="Arial"/>
          <w:color w:val="282828"/>
          <w:sz w:val="20"/>
        </w:rPr>
        <w:t>VeriCare AI introduces a dual-agent self-correcting cognitive architecture combined with deterministic cryptographic verification. Rather than relying on ungrounded generation, VeriCare pairs a primary generation agent with an autonomous verification/auditor agent that cross-checks clinical assertions against structured laboratory values, ICD-10 medical ontology graphs, and clinical protocols. Verified summaries are cryptographically signed, hashed, and anchored to an immutable ledger, establishing verifiable non-repudiation.</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Borders>
              <w:top w:val="none"/>
              <w:left w:val="single" w:sz="24" w:space="0" w:color="005B94"/>
              <w:bottom w:val="none"/>
              <w:right w:val="none"/>
            </w:tcBorders>
          </w:tcPr>
          <w:p>
            <w:pPr>
              <w:spacing w:before="40" w:after="80"/>
            </w:pPr>
            <w:r>
              <w:rPr>
                <w:rFonts w:ascii="Arial" w:hAnsi="Arial"/>
                <w:b/>
                <w:color w:val="005B94"/>
                <w:sz w:val="20"/>
              </w:rPr>
              <w:t>📌 CORE VALUE PROPOSITION</w:t>
              <w:br/>
            </w:r>
          </w:p>
          <w:p>
            <w:pPr>
              <w:spacing w:before="40" w:after="40"/>
            </w:pPr>
            <w:r>
              <w:rPr>
                <w:rFonts w:ascii="Arial" w:hAnsi="Arial"/>
                <w:color w:val="333333"/>
                <w:sz w:val="19"/>
              </w:rPr>
              <w:t>• Eliminates generative hallucinations in clinical records through multi-agent consensus and strict source citation.</w:t>
            </w:r>
          </w:p>
          <w:p>
            <w:pPr>
              <w:spacing w:before="40" w:after="40"/>
            </w:pPr>
            <w:r>
              <w:rPr>
                <w:rFonts w:ascii="Arial" w:hAnsi="Arial"/>
                <w:color w:val="333333"/>
                <w:sz w:val="19"/>
              </w:rPr>
              <w:t>• Bridges the trust deficit between autonomous AI recommendations and clinical physician sign-offs.</w:t>
            </w:r>
          </w:p>
          <w:p>
            <w:pPr>
              <w:spacing w:before="40" w:after="40"/>
            </w:pPr>
            <w:r>
              <w:rPr>
                <w:rFonts w:ascii="Arial" w:hAnsi="Arial"/>
                <w:color w:val="333333"/>
                <w:sz w:val="19"/>
              </w:rPr>
              <w:t>• Produces court-admissible, tamper-evident immutable audit trails for every AI-synthesized patient report.</w:t>
            </w:r>
          </w:p>
        </w:tc>
      </w:tr>
    </w:tbl>
    <w:p>
      <w:pPr>
        <w:spacing w:after="120"/>
      </w:pPr>
    </w:p>
    <w:p>
      <w:pPr>
        <w:keepNext/>
        <w:spacing w:before="280" w:after="80"/>
      </w:pPr>
      <w:r>
        <w:rPr>
          <w:rFonts w:ascii="Arial" w:hAnsi="Arial"/>
          <w:b/>
          <w:color w:val="005B94"/>
          <w:sz w:val="28"/>
        </w:rPr>
        <w:t>2. System Architecture &amp; Dual-Agent Orchestration</w:t>
      </w:r>
    </w:p>
    <w:p>
      <w:pPr>
        <w:spacing w:after="80" w:line="276" w:lineRule="auto"/>
      </w:pPr>
      <w:r>
        <w:rPr>
          <w:rFonts w:ascii="Arial" w:hAnsi="Arial"/>
          <w:color w:val="282828"/>
          <w:sz w:val="20"/>
        </w:rPr>
        <w:t>The system architecture is engineered as a decoupled, asynchronous microservices pipeline centered around the VeriCare Cognitive Core and the Ledger Trust Layer.</w:t>
      </w:r>
    </w:p>
    <w:p>
      <w:pPr>
        <w:keepNext/>
        <w:spacing w:before="200" w:after="60"/>
      </w:pPr>
      <w:r>
        <w:rPr>
          <w:rFonts w:ascii="Arial" w:hAnsi="Arial"/>
          <w:b/>
          <w:color w:val="1E293B"/>
          <w:sz w:val="23"/>
        </w:rPr>
        <w:t>2.1 Multi-Agent Pipeline Workflow</w:t>
      </w:r>
    </w:p>
    <w:p>
      <w:pPr>
        <w:spacing w:after="80" w:line="276" w:lineRule="auto"/>
      </w:pPr>
      <w:r>
        <w:rPr>
          <w:rFonts w:ascii="Arial" w:hAnsi="Arial"/>
          <w:b/>
          <w:color w:val="1E293B"/>
          <w:sz w:val="20"/>
        </w:rPr>
        <w:t xml:space="preserve">Step 1: Clinical Ingestion &amp; OCR Normalization - </w:t>
      </w:r>
      <w:r>
        <w:rPr>
          <w:rFonts w:ascii="Arial" w:hAnsi="Arial"/>
          <w:color w:val="282828"/>
          <w:sz w:val="20"/>
        </w:rPr>
        <w:t>Unstructured physician voice memos, typed doctor notes, and raw DICOM/PDF lab diagnostic feeds are ingested. PII/PHI de-identification sanitizes sensitive biometric data while preserving patient session keys.</w:t>
      </w:r>
    </w:p>
    <w:p>
      <w:pPr>
        <w:spacing w:after="80" w:line="276" w:lineRule="auto"/>
      </w:pPr>
      <w:r>
        <w:rPr>
          <w:rFonts w:ascii="Arial" w:hAnsi="Arial"/>
          <w:b/>
          <w:color w:val="1E293B"/>
          <w:sz w:val="20"/>
        </w:rPr>
        <w:t xml:space="preserve">Step 2: Synthesizer Agent (Generation Pipeline) - </w:t>
      </w:r>
      <w:r>
        <w:rPr>
          <w:rFonts w:ascii="Arial" w:hAnsi="Arial"/>
          <w:color w:val="282828"/>
          <w:sz w:val="20"/>
        </w:rPr>
        <w:t>Utilizing structured JSON-schema prompting, the Synthesizer Agent parses clinical notes into standard SOAP (Subjective, Objective, Assessment, Plan) format, citing exact character spans of source lab panels.</w:t>
      </w:r>
    </w:p>
    <w:p>
      <w:pPr>
        <w:spacing w:after="80" w:line="276" w:lineRule="auto"/>
      </w:pPr>
      <w:r>
        <w:rPr>
          <w:rFonts w:ascii="Arial" w:hAnsi="Arial"/>
          <w:b/>
          <w:color w:val="1E293B"/>
          <w:sz w:val="20"/>
        </w:rPr>
        <w:t xml:space="preserve">Step 3: Verifier &amp; Clinical Audit Agent - </w:t>
      </w:r>
      <w:r>
        <w:rPr>
          <w:rFonts w:ascii="Arial" w:hAnsi="Arial"/>
          <w:color w:val="282828"/>
          <w:sz w:val="20"/>
        </w:rPr>
        <w:t>An isolated, adversarial agent reads the synthesized SOAP record and independently executes hybrid semantic vector search (RAG via pgvector) and deterministic ontology lookups against clinical guidelines (e.g., dosage limits, drug-drug contraindications).</w:t>
      </w:r>
    </w:p>
    <w:p>
      <w:pPr>
        <w:spacing w:after="80" w:line="276" w:lineRule="auto"/>
      </w:pPr>
      <w:r>
        <w:rPr>
          <w:rFonts w:ascii="Arial" w:hAnsi="Arial"/>
          <w:b/>
          <w:color w:val="1E293B"/>
          <w:sz w:val="20"/>
        </w:rPr>
        <w:t xml:space="preserve">Step 4: Consensus &amp; Confidence Scoring Engine - </w:t>
      </w:r>
      <w:r>
        <w:rPr>
          <w:rFonts w:ascii="Arial" w:hAnsi="Arial"/>
          <w:color w:val="282828"/>
          <w:sz w:val="20"/>
        </w:rPr>
        <w:t>Calculates a composite Hallucination &amp; Factuality Score (0.0 to 1.0). If any clinical claim drops below 0.95 or introduces conflicting biomarker claims, an automated Human-in-the-Loop (HITL) review alert is triggered.</w:t>
      </w:r>
    </w:p>
    <w:p>
      <w:pPr>
        <w:spacing w:after="80" w:line="276" w:lineRule="auto"/>
      </w:pPr>
      <w:r>
        <w:rPr>
          <w:rFonts w:ascii="Arial" w:hAnsi="Arial"/>
          <w:b/>
          <w:color w:val="1E293B"/>
          <w:sz w:val="20"/>
        </w:rPr>
        <w:t xml:space="preserve">Step 5: Cryptographic Attestation &amp; Ledger Anchoring - </w:t>
      </w:r>
      <w:r>
        <w:rPr>
          <w:rFonts w:ascii="Arial" w:hAnsi="Arial"/>
          <w:color w:val="282828"/>
          <w:sz w:val="20"/>
        </w:rPr>
        <w:t>Once verified (or clinician-approved), the document JSON payload is hashed (SHA-256) and signed using the physician/clinic RSA key pair. The cryptographic receipt is anchored into an immutable append-only ledger for non-repudiation.</w:t>
      </w:r>
    </w:p>
    <w:p>
      <w:pPr>
        <w:keepNext/>
        <w:spacing w:before="280" w:after="80"/>
      </w:pPr>
      <w:r>
        <w:rPr>
          <w:rFonts w:ascii="Arial" w:hAnsi="Arial"/>
          <w:b/>
          <w:color w:val="005B94"/>
          <w:sz w:val="28"/>
        </w:rPr>
        <w:t>3. Detailed Technology Stack &amp; Tooling</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05B94"/>
            <w:tcMar>
              <w:top w:w="100" w:type="dxa"/>
              <w:bottom w:w="100" w:type="dxa"/>
              <w:left w:w="120" w:type="dxa"/>
              <w:right w:w="120" w:type="dxa"/>
            </w:tcMar>
          </w:tcPr>
          <w:p>
            <w:r>
              <w:rPr>
                <w:rFonts w:ascii="Arial" w:hAnsi="Arial"/>
                <w:b/>
                <w:color w:val="FFFFFF"/>
                <w:sz w:val="19"/>
              </w:rPr>
              <w:t>Subsystem Layer</w:t>
            </w:r>
          </w:p>
        </w:tc>
        <w:tc>
          <w:tcPr>
            <w:tcW w:type="dxa" w:w="3312"/>
            <w:shd w:fill="005B94"/>
            <w:tcMar>
              <w:top w:w="100" w:type="dxa"/>
              <w:bottom w:w="100" w:type="dxa"/>
              <w:left w:w="120" w:type="dxa"/>
              <w:right w:w="120" w:type="dxa"/>
            </w:tcMar>
          </w:tcPr>
          <w:p>
            <w:r>
              <w:rPr>
                <w:rFonts w:ascii="Arial" w:hAnsi="Arial"/>
                <w:b/>
                <w:color w:val="FFFFFF"/>
                <w:sz w:val="19"/>
              </w:rPr>
              <w:t>Chosen Technologies &amp; Frameworks</w:t>
            </w:r>
          </w:p>
        </w:tc>
        <w:tc>
          <w:tcPr>
            <w:tcW w:type="dxa" w:w="3312"/>
            <w:shd w:fill="005B94"/>
            <w:tcMar>
              <w:top w:w="100" w:type="dxa"/>
              <w:bottom w:w="100" w:type="dxa"/>
              <w:left w:w="120" w:type="dxa"/>
              <w:right w:w="120" w:type="dxa"/>
            </w:tcMar>
          </w:tcPr>
          <w:p>
            <w:r>
              <w:rPr>
                <w:rFonts w:ascii="Arial" w:hAnsi="Arial"/>
                <w:b/>
                <w:color w:val="FFFFFF"/>
                <w:sz w:val="19"/>
              </w:rPr>
              <w:t>Architectural Rationale</w:t>
            </w:r>
          </w:p>
        </w:tc>
      </w:tr>
      <w:tr>
        <w:tc>
          <w:tcPr>
            <w:tcW w:type="dxa" w:w="3312"/>
            <w:shd w:fill="F8FAFC"/>
            <w:tcMar>
              <w:top w:w="80" w:type="dxa"/>
              <w:bottom w:w="80" w:type="dxa"/>
              <w:left w:w="100" w:type="dxa"/>
              <w:right w:w="100" w:type="dxa"/>
            </w:tcMar>
          </w:tcPr>
          <w:p>
            <w:r>
              <w:rPr>
                <w:rFonts w:ascii="Arial" w:hAnsi="Arial"/>
                <w:b/>
                <w:color w:val="282828"/>
                <w:sz w:val="18"/>
              </w:rPr>
              <w:t>Agentic Core &amp; Orchestration</w:t>
            </w:r>
          </w:p>
        </w:tc>
        <w:tc>
          <w:tcPr>
            <w:tcW w:type="dxa" w:w="3312"/>
            <w:shd w:fill="F8FAFC"/>
            <w:tcMar>
              <w:top w:w="80" w:type="dxa"/>
              <w:bottom w:w="80" w:type="dxa"/>
              <w:left w:w="100" w:type="dxa"/>
              <w:right w:w="100" w:type="dxa"/>
            </w:tcMar>
          </w:tcPr>
          <w:p>
            <w:r>
              <w:rPr>
                <w:rFonts w:ascii="Arial" w:hAnsi="Arial"/>
                <w:color w:val="282828"/>
                <w:sz w:val="18"/>
              </w:rPr>
              <w:t>Python, LangChain / LangGraph, Gemini 1.5 Flash / Pro</w:t>
            </w:r>
          </w:p>
        </w:tc>
        <w:tc>
          <w:tcPr>
            <w:tcW w:type="dxa" w:w="3312"/>
            <w:shd w:fill="F8FAFC"/>
            <w:tcMar>
              <w:top w:w="80" w:type="dxa"/>
              <w:bottom w:w="80" w:type="dxa"/>
              <w:left w:w="100" w:type="dxa"/>
              <w:right w:w="100" w:type="dxa"/>
            </w:tcMar>
          </w:tcPr>
          <w:p>
            <w:r>
              <w:rPr>
                <w:rFonts w:ascii="Arial" w:hAnsi="Arial"/>
                <w:color w:val="282828"/>
                <w:sz w:val="18"/>
              </w:rPr>
              <w:t>Stateful graph-based agent loops with JSON Schema validation and extreme long-context window handling.</w:t>
            </w:r>
          </w:p>
        </w:tc>
      </w:tr>
      <w:tr>
        <w:tc>
          <w:tcPr>
            <w:tcW w:type="dxa" w:w="3312"/>
            <w:shd w:fill="FFFFFF"/>
            <w:tcMar>
              <w:top w:w="80" w:type="dxa"/>
              <w:bottom w:w="80" w:type="dxa"/>
              <w:left w:w="100" w:type="dxa"/>
              <w:right w:w="100" w:type="dxa"/>
            </w:tcMar>
          </w:tcPr>
          <w:p>
            <w:r>
              <w:rPr>
                <w:rFonts w:ascii="Arial" w:hAnsi="Arial"/>
                <w:b/>
                <w:color w:val="282828"/>
                <w:sz w:val="18"/>
              </w:rPr>
              <w:t>Knowledge Retrieval (RAG)</w:t>
            </w:r>
          </w:p>
        </w:tc>
        <w:tc>
          <w:tcPr>
            <w:tcW w:type="dxa" w:w="3312"/>
            <w:shd w:fill="FFFFFF"/>
            <w:tcMar>
              <w:top w:w="80" w:type="dxa"/>
              <w:bottom w:w="80" w:type="dxa"/>
              <w:left w:w="100" w:type="dxa"/>
              <w:right w:w="100" w:type="dxa"/>
            </w:tcMar>
          </w:tcPr>
          <w:p>
            <w:r>
              <w:rPr>
                <w:rFonts w:ascii="Arial" w:hAnsi="Arial"/>
                <w:color w:val="282828"/>
                <w:sz w:val="18"/>
              </w:rPr>
              <w:t>PostgreSQL + pgvector, FastEmbed, PubMed / ICD-10 datasets</w:t>
            </w:r>
          </w:p>
        </w:tc>
        <w:tc>
          <w:tcPr>
            <w:tcW w:type="dxa" w:w="3312"/>
            <w:shd w:fill="FFFFFF"/>
            <w:tcMar>
              <w:top w:w="80" w:type="dxa"/>
              <w:bottom w:w="80" w:type="dxa"/>
              <w:left w:w="100" w:type="dxa"/>
              <w:right w:w="100" w:type="dxa"/>
            </w:tcMar>
          </w:tcPr>
          <w:p>
            <w:r>
              <w:rPr>
                <w:rFonts w:ascii="Arial" w:hAnsi="Arial"/>
                <w:color w:val="282828"/>
                <w:sz w:val="18"/>
              </w:rPr>
              <w:t>Production-grade relational stability combined with high-performance vector similarity search in a single datastore.</w:t>
            </w:r>
          </w:p>
        </w:tc>
      </w:tr>
      <w:tr>
        <w:tc>
          <w:tcPr>
            <w:tcW w:type="dxa" w:w="3312"/>
            <w:shd w:fill="F8FAFC"/>
            <w:tcMar>
              <w:top w:w="80" w:type="dxa"/>
              <w:bottom w:w="80" w:type="dxa"/>
              <w:left w:w="100" w:type="dxa"/>
              <w:right w:w="100" w:type="dxa"/>
            </w:tcMar>
          </w:tcPr>
          <w:p>
            <w:r>
              <w:rPr>
                <w:rFonts w:ascii="Arial" w:hAnsi="Arial"/>
                <w:b/>
                <w:color w:val="282828"/>
                <w:sz w:val="18"/>
              </w:rPr>
              <w:t>API &amp; Backend Services</w:t>
            </w:r>
          </w:p>
        </w:tc>
        <w:tc>
          <w:tcPr>
            <w:tcW w:type="dxa" w:w="3312"/>
            <w:shd w:fill="F8FAFC"/>
            <w:tcMar>
              <w:top w:w="80" w:type="dxa"/>
              <w:bottom w:w="80" w:type="dxa"/>
              <w:left w:w="100" w:type="dxa"/>
              <w:right w:w="100" w:type="dxa"/>
            </w:tcMar>
          </w:tcPr>
          <w:p>
            <w:r>
              <w:rPr>
                <w:rFonts w:ascii="Arial" w:hAnsi="Arial"/>
                <w:color w:val="282828"/>
                <w:sz w:val="18"/>
              </w:rPr>
              <w:t>Node.js / TypeScript, Express, Prisma ORM, Redis</w:t>
            </w:r>
          </w:p>
        </w:tc>
        <w:tc>
          <w:tcPr>
            <w:tcW w:type="dxa" w:w="3312"/>
            <w:shd w:fill="F8FAFC"/>
            <w:tcMar>
              <w:top w:w="80" w:type="dxa"/>
              <w:bottom w:w="80" w:type="dxa"/>
              <w:left w:w="100" w:type="dxa"/>
              <w:right w:w="100" w:type="dxa"/>
            </w:tcMar>
          </w:tcPr>
          <w:p>
            <w:r>
              <w:rPr>
                <w:rFonts w:ascii="Arial" w:hAnsi="Arial"/>
                <w:color w:val="282828"/>
                <w:sz w:val="18"/>
              </w:rPr>
              <w:t>High-throughput asynchronous I/O, type-safe API boundaries, and low-latency session caching for concurrent doctors.</w:t>
            </w:r>
          </w:p>
        </w:tc>
      </w:tr>
      <w:tr>
        <w:tc>
          <w:tcPr>
            <w:tcW w:type="dxa" w:w="3312"/>
            <w:shd w:fill="FFFFFF"/>
            <w:tcMar>
              <w:top w:w="80" w:type="dxa"/>
              <w:bottom w:w="80" w:type="dxa"/>
              <w:left w:w="100" w:type="dxa"/>
              <w:right w:w="100" w:type="dxa"/>
            </w:tcMar>
          </w:tcPr>
          <w:p>
            <w:r>
              <w:rPr>
                <w:rFonts w:ascii="Arial" w:hAnsi="Arial"/>
                <w:b/>
                <w:color w:val="282828"/>
                <w:sz w:val="18"/>
              </w:rPr>
              <w:t>Frontend &amp; HITL Dashboard</w:t>
            </w:r>
          </w:p>
        </w:tc>
        <w:tc>
          <w:tcPr>
            <w:tcW w:type="dxa" w:w="3312"/>
            <w:shd w:fill="FFFFFF"/>
            <w:tcMar>
              <w:top w:w="80" w:type="dxa"/>
              <w:bottom w:w="80" w:type="dxa"/>
              <w:left w:w="100" w:type="dxa"/>
              <w:right w:w="100" w:type="dxa"/>
            </w:tcMar>
          </w:tcPr>
          <w:p>
            <w:r>
              <w:rPr>
                <w:rFonts w:ascii="Arial" w:hAnsi="Arial"/>
                <w:color w:val="282828"/>
                <w:sz w:val="18"/>
              </w:rPr>
              <w:t>React 19 / Next.js, Tailwind CSS, shadcn/ui, TanStack Query</w:t>
            </w:r>
          </w:p>
        </w:tc>
        <w:tc>
          <w:tcPr>
            <w:tcW w:type="dxa" w:w="3312"/>
            <w:shd w:fill="FFFFFF"/>
            <w:tcMar>
              <w:top w:w="80" w:type="dxa"/>
              <w:bottom w:w="80" w:type="dxa"/>
              <w:left w:w="100" w:type="dxa"/>
              <w:right w:w="100" w:type="dxa"/>
            </w:tcMar>
          </w:tcPr>
          <w:p>
            <w:r>
              <w:rPr>
                <w:rFonts w:ascii="Arial" w:hAnsi="Arial"/>
                <w:color w:val="282828"/>
                <w:sz w:val="18"/>
              </w:rPr>
              <w:t>Responsive audit interface highlighting verified vs. flagged claims with side-by-side source document diffs.</w:t>
            </w:r>
          </w:p>
        </w:tc>
      </w:tr>
      <w:tr>
        <w:tc>
          <w:tcPr>
            <w:tcW w:type="dxa" w:w="3312"/>
            <w:shd w:fill="F8FAFC"/>
            <w:tcMar>
              <w:top w:w="80" w:type="dxa"/>
              <w:bottom w:w="80" w:type="dxa"/>
              <w:left w:w="100" w:type="dxa"/>
              <w:right w:w="100" w:type="dxa"/>
            </w:tcMar>
          </w:tcPr>
          <w:p>
            <w:r>
              <w:rPr>
                <w:rFonts w:ascii="Arial" w:hAnsi="Arial"/>
                <w:b/>
                <w:color w:val="282828"/>
                <w:sz w:val="18"/>
              </w:rPr>
              <w:t>Cryptographic Trust Layer</w:t>
            </w:r>
          </w:p>
        </w:tc>
        <w:tc>
          <w:tcPr>
            <w:tcW w:type="dxa" w:w="3312"/>
            <w:shd w:fill="F8FAFC"/>
            <w:tcMar>
              <w:top w:w="80" w:type="dxa"/>
              <w:bottom w:w="80" w:type="dxa"/>
              <w:left w:w="100" w:type="dxa"/>
              <w:right w:w="100" w:type="dxa"/>
            </w:tcMar>
          </w:tcPr>
          <w:p>
            <w:r>
              <w:rPr>
                <w:rFonts w:ascii="Arial" w:hAnsi="Arial"/>
                <w:color w:val="282828"/>
                <w:sz w:val="18"/>
              </w:rPr>
              <w:t>Web3.py / ethers.js, SHA-256 Merkle Trees, Polygon / Consortium Ledger</w:t>
            </w:r>
          </w:p>
        </w:tc>
        <w:tc>
          <w:tcPr>
            <w:tcW w:type="dxa" w:w="3312"/>
            <w:shd w:fill="F8FAFC"/>
            <w:tcMar>
              <w:top w:w="80" w:type="dxa"/>
              <w:bottom w:w="80" w:type="dxa"/>
              <w:left w:w="100" w:type="dxa"/>
              <w:right w:w="100" w:type="dxa"/>
            </w:tcMar>
          </w:tcPr>
          <w:p>
            <w:r>
              <w:rPr>
                <w:rFonts w:ascii="Arial" w:hAnsi="Arial"/>
                <w:color w:val="282828"/>
                <w:sz w:val="18"/>
              </w:rPr>
              <w:t>Zero-gas or micro-fee immutable document hashing, proof-of-existence, and audit verification endpoints.</w:t>
            </w:r>
          </w:p>
        </w:tc>
      </w:tr>
      <w:tr>
        <w:tc>
          <w:tcPr>
            <w:tcW w:type="dxa" w:w="3312"/>
            <w:shd w:fill="FFFFFF"/>
            <w:tcMar>
              <w:top w:w="80" w:type="dxa"/>
              <w:bottom w:w="80" w:type="dxa"/>
              <w:left w:w="100" w:type="dxa"/>
              <w:right w:w="100" w:type="dxa"/>
            </w:tcMar>
          </w:tcPr>
          <w:p>
            <w:r>
              <w:rPr>
                <w:rFonts w:ascii="Arial" w:hAnsi="Arial"/>
                <w:b/>
                <w:color w:val="282828"/>
                <w:sz w:val="18"/>
              </w:rPr>
              <w:t>Infrastructure &amp; Hosting</w:t>
            </w:r>
          </w:p>
        </w:tc>
        <w:tc>
          <w:tcPr>
            <w:tcW w:type="dxa" w:w="3312"/>
            <w:shd w:fill="FFFFFF"/>
            <w:tcMar>
              <w:top w:w="80" w:type="dxa"/>
              <w:bottom w:w="80" w:type="dxa"/>
              <w:left w:w="100" w:type="dxa"/>
              <w:right w:w="100" w:type="dxa"/>
            </w:tcMar>
          </w:tcPr>
          <w:p>
            <w:r>
              <w:rPr>
                <w:rFonts w:ascii="Arial" w:hAnsi="Arial"/>
                <w:color w:val="282828"/>
                <w:sz w:val="18"/>
              </w:rPr>
              <w:t>Docker containers, Google Cloud Run, Cloud SQL, GitHub Actions</w:t>
            </w:r>
          </w:p>
        </w:tc>
        <w:tc>
          <w:tcPr>
            <w:tcW w:type="dxa" w:w="3312"/>
            <w:shd w:fill="FFFFFF"/>
            <w:tcMar>
              <w:top w:w="80" w:type="dxa"/>
              <w:bottom w:w="80" w:type="dxa"/>
              <w:left w:w="100" w:type="dxa"/>
              <w:right w:w="100" w:type="dxa"/>
            </w:tcMar>
          </w:tcPr>
          <w:p>
            <w:r>
              <w:rPr>
                <w:rFonts w:ascii="Arial" w:hAnsi="Arial"/>
                <w:color w:val="282828"/>
                <w:sz w:val="18"/>
              </w:rPr>
              <w:t>Serverless auto-scaling compute, HIPAA-compliant encryption in transit and at rest, zero-ops deployment.</w:t>
            </w:r>
          </w:p>
        </w:tc>
      </w:tr>
    </w:tbl>
    <w:p>
      <w:pPr>
        <w:spacing w:after="120"/>
      </w:pPr>
    </w:p>
    <w:p>
      <w:pPr>
        <w:keepNext/>
        <w:spacing w:before="280" w:after="80"/>
      </w:pPr>
      <w:r>
        <w:rPr>
          <w:rFonts w:ascii="Arial" w:hAnsi="Arial"/>
          <w:b/>
          <w:color w:val="005B94"/>
          <w:sz w:val="28"/>
        </w:rPr>
        <w:t>4. Core Data Schema Design</w:t>
      </w:r>
    </w:p>
    <w:p>
      <w:pPr>
        <w:spacing w:after="80" w:line="276" w:lineRule="auto"/>
      </w:pPr>
      <w:r>
        <w:rPr>
          <w:rFonts w:ascii="Arial" w:hAnsi="Arial"/>
          <w:color w:val="282828"/>
          <w:sz w:val="20"/>
        </w:rPr>
        <w:t>A robust relational structure ensures tight tracking of patient encounters, agent verification iterations, and immutable transaction hashes.</w:t>
      </w:r>
    </w:p>
    <w:p>
      <w:pPr>
        <w:spacing w:after="80" w:line="276" w:lineRule="auto"/>
      </w:pPr>
      <w:r>
        <w:rPr>
          <w:rFonts w:ascii="Arial" w:hAnsi="Arial"/>
          <w:b/>
          <w:color w:val="1E293B"/>
          <w:sz w:val="20"/>
        </w:rPr>
        <w:t xml:space="preserve">Patients Table: </w:t>
      </w:r>
      <w:r>
        <w:rPr>
          <w:rFonts w:ascii="Arial" w:hAnsi="Arial"/>
          <w:color w:val="282828"/>
          <w:sz w:val="20"/>
        </w:rPr>
        <w:t>patient_id (UUID), encrypted_mrn, deid_metadata, created_at, updated_at.</w:t>
      </w:r>
    </w:p>
    <w:p>
      <w:pPr>
        <w:spacing w:after="80" w:line="276" w:lineRule="auto"/>
      </w:pPr>
      <w:r>
        <w:rPr>
          <w:rFonts w:ascii="Arial" w:hAnsi="Arial"/>
          <w:b/>
          <w:color w:val="1E293B"/>
          <w:sz w:val="20"/>
        </w:rPr>
        <w:t xml:space="preserve">Clinical Encounters Table: </w:t>
      </w:r>
      <w:r>
        <w:rPr>
          <w:rFonts w:ascii="Arial" w:hAnsi="Arial"/>
          <w:color w:val="282828"/>
          <w:sz w:val="20"/>
        </w:rPr>
        <w:t>encounter_id (UUID), patient_id, physician_id, raw_notes, audio_transcript, status (PENDING_DRAFT, VERIFYING, FLAGGED_REVIEW, ATTESTED).</w:t>
      </w:r>
    </w:p>
    <w:p>
      <w:pPr>
        <w:spacing w:after="80" w:line="276" w:lineRule="auto"/>
      </w:pPr>
      <w:r>
        <w:rPr>
          <w:rFonts w:ascii="Arial" w:hAnsi="Arial"/>
          <w:b/>
          <w:color w:val="1E293B"/>
          <w:sz w:val="20"/>
        </w:rPr>
        <w:t xml:space="preserve">Verification Logs Table: </w:t>
      </w:r>
      <w:r>
        <w:rPr>
          <w:rFonts w:ascii="Arial" w:hAnsi="Arial"/>
          <w:color w:val="282828"/>
          <w:sz w:val="20"/>
        </w:rPr>
        <w:t>log_id (UUID), encounter_id, synthesizer_output (JSON), verifier_critique (JSON), contradiction_flags (Array), hallucination_score (Float), verified_by (Agent_ID / Physician_ID).</w:t>
      </w:r>
    </w:p>
    <w:p>
      <w:pPr>
        <w:spacing w:after="80" w:line="276" w:lineRule="auto"/>
      </w:pPr>
      <w:r>
        <w:rPr>
          <w:rFonts w:ascii="Arial" w:hAnsi="Arial"/>
          <w:b/>
          <w:color w:val="1E293B"/>
          <w:sz w:val="20"/>
        </w:rPr>
        <w:t xml:space="preserve">Ledger Anchors Table: </w:t>
      </w:r>
      <w:r>
        <w:rPr>
          <w:rFonts w:ascii="Arial" w:hAnsi="Arial"/>
          <w:color w:val="282828"/>
          <w:sz w:val="20"/>
        </w:rPr>
        <w:t>anchor_id (UUID), encounter_id, root_sha256_hash, merkle_path, blockchain_tx_hash, block_number, timestamp, signature.</w:t>
      </w:r>
    </w:p>
    <w:p>
      <w:pPr>
        <w:keepNext/>
        <w:spacing w:before="280" w:after="80"/>
      </w:pPr>
      <w:r>
        <w:rPr>
          <w:rFonts w:ascii="Arial" w:hAnsi="Arial"/>
          <w:b/>
          <w:color w:val="005B94"/>
          <w:sz w:val="28"/>
        </w:rPr>
        <w:t>5. Technical Implementation &amp; Development Roadmap</w:t>
      </w:r>
    </w:p>
    <w:p>
      <w:pPr>
        <w:spacing w:after="80" w:line="276" w:lineRule="auto"/>
      </w:pPr>
      <w:r>
        <w:rPr>
          <w:rFonts w:ascii="Arial" w:hAnsi="Arial"/>
          <w:b/>
          <w:color w:val="1E293B"/>
          <w:sz w:val="20"/>
        </w:rPr>
        <w:t xml:space="preserve">Phase 1: Foundation &amp; Data Pipelines (Weeks 1–3) </w:t>
      </w:r>
      <w:r>
        <w:rPr>
          <w:rFonts w:ascii="Arial" w:hAnsi="Arial"/>
          <w:color w:val="282828"/>
          <w:sz w:val="20"/>
        </w:rPr>
        <w:t>Develop Python backend microservice. Integrate OCR and clinical text ingestion. Connect PostgreSQL with pgvector and seed medical guideline embeddings (ICD-10, contraindication databases).</w:t>
      </w:r>
    </w:p>
    <w:p>
      <w:pPr>
        <w:spacing w:after="80" w:line="276" w:lineRule="auto"/>
      </w:pPr>
      <w:r>
        <w:rPr>
          <w:rFonts w:ascii="Arial" w:hAnsi="Arial"/>
          <w:b/>
          <w:color w:val="1E293B"/>
          <w:sz w:val="20"/>
        </w:rPr>
        <w:t xml:space="preserve">Phase 2: Multi-Agent Logic &amp; Consensus Graph (Weeks 4–6) </w:t>
      </w:r>
      <w:r>
        <w:rPr>
          <w:rFonts w:ascii="Arial" w:hAnsi="Arial"/>
          <w:color w:val="282828"/>
          <w:sz w:val="20"/>
        </w:rPr>
        <w:t>Implement LangGraph state machine. Define Synthesizer Agent prompts with strict JSON schemas. Implement Auditor Agent with deterministic assertion extraction and cross-reference logic.</w:t>
      </w:r>
    </w:p>
    <w:p>
      <w:pPr>
        <w:spacing w:after="80" w:line="276" w:lineRule="auto"/>
      </w:pPr>
      <w:r>
        <w:rPr>
          <w:rFonts w:ascii="Arial" w:hAnsi="Arial"/>
          <w:b/>
          <w:color w:val="1E293B"/>
          <w:sz w:val="20"/>
        </w:rPr>
        <w:t xml:space="preserve">Phase 3: Web Dashboard &amp; Human-in-the-Loop UI (Weeks 7–9) </w:t>
      </w:r>
      <w:r>
        <w:rPr>
          <w:rFonts w:ascii="Arial" w:hAnsi="Arial"/>
          <w:color w:val="282828"/>
          <w:sz w:val="20"/>
        </w:rPr>
        <w:t>Construct Next.js / TypeScript physician console. Render side-by-side claim comparison with interactive green/amber/red confidence highlighting. Implement physician one-click override and sign-off.</w:t>
      </w:r>
    </w:p>
    <w:p>
      <w:pPr>
        <w:spacing w:after="80" w:line="276" w:lineRule="auto"/>
      </w:pPr>
      <w:r>
        <w:rPr>
          <w:rFonts w:ascii="Arial" w:hAnsi="Arial"/>
          <w:b/>
          <w:color w:val="1E293B"/>
          <w:sz w:val="20"/>
        </w:rPr>
        <w:t xml:space="preserve">Phase 4: Cryptographic Anchoring &amp; Audit Service (Weeks 10–12) </w:t>
      </w:r>
      <w:r>
        <w:rPr>
          <w:rFonts w:ascii="Arial" w:hAnsi="Arial"/>
          <w:color w:val="282828"/>
          <w:sz w:val="20"/>
        </w:rPr>
        <w:t>Implement document canonicalization, SHA-256 hashing, and automated signature anchoring to testnet ledger. Deploy full stack to Google Cloud Run with automated CI/CD.</w:t>
      </w:r>
    </w:p>
    <w:p>
      <w:pPr>
        <w:keepNext/>
        <w:spacing w:before="280" w:after="80"/>
      </w:pPr>
      <w:r>
        <w:rPr>
          <w:rFonts w:ascii="Arial" w:hAnsi="Arial"/>
          <w:b/>
          <w:color w:val="005B94"/>
          <w:sz w:val="28"/>
        </w:rPr>
        <w:t>6. Commercial Viability &amp; CBII Incubation Fit</w:t>
      </w:r>
    </w:p>
    <w:p>
      <w:pPr>
        <w:spacing w:after="80" w:line="276" w:lineRule="auto"/>
      </w:pPr>
      <w:r>
        <w:rPr>
          <w:rFonts w:ascii="Arial" w:hAnsi="Arial"/>
          <w:b/>
          <w:color w:val="1E293B"/>
          <w:sz w:val="20"/>
        </w:rPr>
        <w:t xml:space="preserve">Commercialization Strategy: </w:t>
      </w:r>
      <w:r>
        <w:rPr>
          <w:rFonts w:ascii="Arial" w:hAnsi="Arial"/>
          <w:color w:val="282828"/>
          <w:sz w:val="20"/>
        </w:rPr>
        <w:t>VeriCare AI aligns directly with the incubation and commercialization objectives of the ShivaTech CBII pipeline.</w:t>
      </w:r>
    </w:p>
    <w:p>
      <w:pPr>
        <w:spacing w:after="80" w:line="276" w:lineRule="auto"/>
      </w:pPr>
      <w:r>
        <w:rPr>
          <w:rFonts w:ascii="Arial" w:hAnsi="Arial"/>
          <w:b/>
          <w:color w:val="1E293B"/>
          <w:sz w:val="20"/>
        </w:rPr>
        <w:t xml:space="preserve">Target Customers: </w:t>
      </w:r>
      <w:r>
        <w:rPr>
          <w:rFonts w:ascii="Arial" w:hAnsi="Arial"/>
          <w:color w:val="282828"/>
          <w:sz w:val="20"/>
        </w:rPr>
        <w:t>Tier-2 &amp; Tier-3 hospitals, diagnostic diagnostic chains (Pathology/Radiology), clinical research organizations (CROs), and telemedicine platforms seeking HIPAA/NABH compliance.</w:t>
      </w:r>
    </w:p>
    <w:p>
      <w:pPr>
        <w:spacing w:after="80" w:line="276" w:lineRule="auto"/>
      </w:pPr>
      <w:r>
        <w:rPr>
          <w:rFonts w:ascii="Arial" w:hAnsi="Arial"/>
          <w:b/>
          <w:color w:val="1E293B"/>
          <w:sz w:val="20"/>
        </w:rPr>
        <w:t xml:space="preserve">Revenue Streams: </w:t>
      </w:r>
      <w:r>
        <w:rPr>
          <w:rFonts w:ascii="Arial" w:hAnsi="Arial"/>
          <w:color w:val="282828"/>
          <w:sz w:val="20"/>
        </w:rPr>
        <w:t>1) B2B SaaS Tier: ₹15,000–₹45,000/month per hospital department for automated transcription and verification. 2) API Billing: ₹2.50 per report verification call for diagnostic labs. 3) Enterprise On-Prem: Custom air-gapped deployment for large hospital chains.</w:t>
      </w:r>
    </w:p>
    <w:p>
      <w:pPr>
        <w:spacing w:after="80" w:line="276" w:lineRule="auto"/>
      </w:pPr>
      <w:r>
        <w:rPr>
          <w:rFonts w:ascii="Arial" w:hAnsi="Arial"/>
          <w:b/>
          <w:color w:val="1E293B"/>
          <w:sz w:val="20"/>
        </w:rPr>
        <w:t xml:space="preserve">Use of ShivaTech ₹5,00,000 Seed Funding: </w:t>
      </w:r>
      <w:r>
        <w:rPr>
          <w:rFonts w:ascii="Arial" w:hAnsi="Arial"/>
          <w:color w:val="282828"/>
          <w:sz w:val="20"/>
        </w:rPr>
        <w:t>• 45% GPU Compute &amp; Cloud Hosting (Cloud Run, vector DBs, LLM inference API credits). • 30% Medical Validation &amp; Clinical Advisory (physician pilot validation, ontology curation). • 15% Security &amp; Compliance Audits (Data privacy, DPDP adherence). • 10% IP &amp; Trademark Registration.</w:t>
      </w:r>
    </w:p>
    <w:p>
      <w:pPr>
        <w:keepNext/>
        <w:spacing w:before="280" w:after="80"/>
      </w:pPr>
      <w:r>
        <w:rPr>
          <w:rFonts w:ascii="Arial" w:hAnsi="Arial"/>
          <w:b/>
          <w:color w:val="005B94"/>
          <w:sz w:val="28"/>
        </w:rPr>
        <w:t>7. Risk Analysis &amp; Mitigation Matrix</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05B94"/>
            <w:tcMar>
              <w:top w:w="100" w:type="dxa"/>
              <w:bottom w:w="100" w:type="dxa"/>
              <w:left w:w="120" w:type="dxa"/>
              <w:right w:w="120" w:type="dxa"/>
            </w:tcMar>
          </w:tcPr>
          <w:p>
            <w:r>
              <w:rPr>
                <w:rFonts w:ascii="Arial" w:hAnsi="Arial"/>
                <w:b/>
                <w:color w:val="FFFFFF"/>
                <w:sz w:val="19"/>
              </w:rPr>
              <w:t>Identified Risk</w:t>
            </w:r>
          </w:p>
        </w:tc>
        <w:tc>
          <w:tcPr>
            <w:tcW w:type="dxa" w:w="3312"/>
            <w:shd w:fill="005B94"/>
            <w:tcMar>
              <w:top w:w="100" w:type="dxa"/>
              <w:bottom w:w="100" w:type="dxa"/>
              <w:left w:w="120" w:type="dxa"/>
              <w:right w:w="120" w:type="dxa"/>
            </w:tcMar>
          </w:tcPr>
          <w:p>
            <w:r>
              <w:rPr>
                <w:rFonts w:ascii="Arial" w:hAnsi="Arial"/>
                <w:b/>
                <w:color w:val="FFFFFF"/>
                <w:sz w:val="19"/>
              </w:rPr>
              <w:t>Impact Severity</w:t>
            </w:r>
          </w:p>
        </w:tc>
        <w:tc>
          <w:tcPr>
            <w:tcW w:type="dxa" w:w="3312"/>
            <w:shd w:fill="005B94"/>
            <w:tcMar>
              <w:top w:w="100" w:type="dxa"/>
              <w:bottom w:w="100" w:type="dxa"/>
              <w:left w:w="120" w:type="dxa"/>
              <w:right w:w="120" w:type="dxa"/>
            </w:tcMar>
          </w:tcPr>
          <w:p>
            <w:r>
              <w:rPr>
                <w:rFonts w:ascii="Arial" w:hAnsi="Arial"/>
                <w:b/>
                <w:color w:val="FFFFFF"/>
                <w:sz w:val="19"/>
              </w:rPr>
              <w:t>Proactive Engineering Mitigation</w:t>
            </w:r>
          </w:p>
        </w:tc>
      </w:tr>
      <w:tr>
        <w:tc>
          <w:tcPr>
            <w:tcW w:type="dxa" w:w="3312"/>
            <w:shd w:fill="F8FAFC"/>
            <w:tcMar>
              <w:top w:w="80" w:type="dxa"/>
              <w:bottom w:w="80" w:type="dxa"/>
              <w:left w:w="100" w:type="dxa"/>
              <w:right w:w="100" w:type="dxa"/>
            </w:tcMar>
          </w:tcPr>
          <w:p>
            <w:r>
              <w:rPr>
                <w:rFonts w:ascii="Arial" w:hAnsi="Arial"/>
                <w:b/>
                <w:color w:val="282828"/>
                <w:sz w:val="18"/>
              </w:rPr>
              <w:t>Subtle Clinical Hallucination</w:t>
            </w:r>
          </w:p>
        </w:tc>
        <w:tc>
          <w:tcPr>
            <w:tcW w:type="dxa" w:w="3312"/>
            <w:shd w:fill="F8FAFC"/>
            <w:tcMar>
              <w:top w:w="80" w:type="dxa"/>
              <w:bottom w:w="80" w:type="dxa"/>
              <w:left w:w="100" w:type="dxa"/>
              <w:right w:w="100" w:type="dxa"/>
            </w:tcMar>
          </w:tcPr>
          <w:p>
            <w:r>
              <w:rPr>
                <w:rFonts w:ascii="Arial" w:hAnsi="Arial"/>
                <w:color w:val="282828"/>
                <w:sz w:val="18"/>
              </w:rPr>
              <w:t>High</w:t>
            </w:r>
          </w:p>
        </w:tc>
        <w:tc>
          <w:tcPr>
            <w:tcW w:type="dxa" w:w="3312"/>
            <w:shd w:fill="F8FAFC"/>
            <w:tcMar>
              <w:top w:w="80" w:type="dxa"/>
              <w:bottom w:w="80" w:type="dxa"/>
              <w:left w:w="100" w:type="dxa"/>
              <w:right w:w="100" w:type="dxa"/>
            </w:tcMar>
          </w:tcPr>
          <w:p>
            <w:r>
              <w:rPr>
                <w:rFonts w:ascii="Arial" w:hAnsi="Arial"/>
                <w:color w:val="282828"/>
                <w:sz w:val="18"/>
              </w:rPr>
              <w:t>Triangulated assertion matching requiring verbatim citation spans from original lab documents before accepting claims.</w:t>
            </w:r>
          </w:p>
        </w:tc>
      </w:tr>
      <w:tr>
        <w:tc>
          <w:tcPr>
            <w:tcW w:type="dxa" w:w="3312"/>
            <w:shd w:fill="FFFFFF"/>
            <w:tcMar>
              <w:top w:w="80" w:type="dxa"/>
              <w:bottom w:w="80" w:type="dxa"/>
              <w:left w:w="100" w:type="dxa"/>
              <w:right w:w="100" w:type="dxa"/>
            </w:tcMar>
          </w:tcPr>
          <w:p>
            <w:r>
              <w:rPr>
                <w:rFonts w:ascii="Arial" w:hAnsi="Arial"/>
                <w:b/>
                <w:color w:val="282828"/>
                <w:sz w:val="18"/>
              </w:rPr>
              <w:t>Latency in Multi-Agent Loops</w:t>
            </w:r>
          </w:p>
        </w:tc>
        <w:tc>
          <w:tcPr>
            <w:tcW w:type="dxa" w:w="3312"/>
            <w:shd w:fill="FFFFFF"/>
            <w:tcMar>
              <w:top w:w="80" w:type="dxa"/>
              <w:bottom w:w="80" w:type="dxa"/>
              <w:left w:w="100" w:type="dxa"/>
              <w:right w:w="100" w:type="dxa"/>
            </w:tcMar>
          </w:tcPr>
          <w:p>
            <w:r>
              <w:rPr>
                <w:rFonts w:ascii="Arial" w:hAnsi="Arial"/>
                <w:color w:val="282828"/>
                <w:sz w:val="18"/>
              </w:rPr>
              <w:t>Medium</w:t>
            </w:r>
          </w:p>
        </w:tc>
        <w:tc>
          <w:tcPr>
            <w:tcW w:type="dxa" w:w="3312"/>
            <w:shd w:fill="FFFFFF"/>
            <w:tcMar>
              <w:top w:w="80" w:type="dxa"/>
              <w:bottom w:w="80" w:type="dxa"/>
              <w:left w:w="100" w:type="dxa"/>
              <w:right w:w="100" w:type="dxa"/>
            </w:tcMar>
          </w:tcPr>
          <w:p>
            <w:r>
              <w:rPr>
                <w:rFonts w:ascii="Arial" w:hAnsi="Arial"/>
                <w:color w:val="282828"/>
                <w:sz w:val="18"/>
              </w:rPr>
              <w:t>Parallelized async agent execution; Synthesizer and Auditor run on streaming token chunks with speculative checking.</w:t>
            </w:r>
          </w:p>
        </w:tc>
      </w:tr>
      <w:tr>
        <w:tc>
          <w:tcPr>
            <w:tcW w:type="dxa" w:w="3312"/>
            <w:shd w:fill="F8FAFC"/>
            <w:tcMar>
              <w:top w:w="80" w:type="dxa"/>
              <w:bottom w:w="80" w:type="dxa"/>
              <w:left w:w="100" w:type="dxa"/>
              <w:right w:w="100" w:type="dxa"/>
            </w:tcMar>
          </w:tcPr>
          <w:p>
            <w:r>
              <w:rPr>
                <w:rFonts w:ascii="Arial" w:hAnsi="Arial"/>
                <w:b/>
                <w:color w:val="282828"/>
                <w:sz w:val="18"/>
              </w:rPr>
              <w:t>Data Privacy &amp; HIPAA Compliance</w:t>
            </w:r>
          </w:p>
        </w:tc>
        <w:tc>
          <w:tcPr>
            <w:tcW w:type="dxa" w:w="3312"/>
            <w:shd w:fill="F8FAFC"/>
            <w:tcMar>
              <w:top w:w="80" w:type="dxa"/>
              <w:bottom w:w="80" w:type="dxa"/>
              <w:left w:w="100" w:type="dxa"/>
              <w:right w:w="100" w:type="dxa"/>
            </w:tcMar>
          </w:tcPr>
          <w:p>
            <w:r>
              <w:rPr>
                <w:rFonts w:ascii="Arial" w:hAnsi="Arial"/>
                <w:color w:val="282828"/>
                <w:sz w:val="18"/>
              </w:rPr>
              <w:t>Critical</w:t>
            </w:r>
          </w:p>
        </w:tc>
        <w:tc>
          <w:tcPr>
            <w:tcW w:type="dxa" w:w="3312"/>
            <w:shd w:fill="F8FAFC"/>
            <w:tcMar>
              <w:top w:w="80" w:type="dxa"/>
              <w:bottom w:w="80" w:type="dxa"/>
              <w:left w:w="100" w:type="dxa"/>
              <w:right w:w="100" w:type="dxa"/>
            </w:tcMar>
          </w:tcPr>
          <w:p>
            <w:r>
              <w:rPr>
                <w:rFonts w:ascii="Arial" w:hAnsi="Arial"/>
                <w:color w:val="282828"/>
                <w:sz w:val="18"/>
              </w:rPr>
              <w:t>Local client-side PII scrubbing prior to LLM submission; zero training data retention agreements with enterprise API endpoints.</w:t>
            </w:r>
          </w:p>
        </w:tc>
      </w:tr>
    </w:tbl>
    <w:p>
      <w:pPr>
        <w:spacing w:after="200"/>
      </w:pPr>
    </w:p>
    <w:p>
      <w:pPr>
        <w:spacing w:before="320"/>
      </w:pPr>
      <w:r>
        <w:rPr>
          <w:rFonts w:ascii="Arial" w:hAnsi="Arial"/>
          <w:i/>
          <w:color w:val="787878"/>
          <w:sz w:val="18"/>
        </w:rPr>
        <w:t>Prepared for Project Team GrayCode | VeriCare AI Core Engineering Specification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