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EAA4EC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Reusable Components Requirement Brief</w:t>
      </w:r>
    </w:p>
    <w:p w14:paraId="71C5B5C4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Vive Statement Reconciliation</w:t>
      </w:r>
    </w:p>
    <w:p w14:paraId="48DB1DB5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190F8C30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While Vive is the immediate implementation, we expect to build other reconciliation solutions in the future.</w:t>
      </w:r>
    </w:p>
    <w:p w14:paraId="0481C257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 xml:space="preserve">The goal is </w:t>
      </w:r>
      <w:r w:rsidRPr="00030FC1">
        <w:rPr>
          <w:rFonts w:ascii="Times New Roman" w:hAnsi="Times New Roman" w:cs="Times New Roman"/>
          <w:b/>
          <w:bCs/>
          <w:kern w:val="0"/>
          <w14:ligatures w14:val="none"/>
        </w:rPr>
        <w:t>not</w:t>
      </w:r>
      <w:r w:rsidRPr="00030FC1">
        <w:rPr>
          <w:rFonts w:ascii="Times New Roman" w:hAnsi="Times New Roman" w:cs="Times New Roman"/>
          <w:kern w:val="0"/>
          <w14:ligatures w14:val="none"/>
        </w:rPr>
        <w:t xml:space="preserve"> to build a generic reconciliation platform as part of the Vive project. The goal is to ensure that a small set of clearly reusable capabilities are not implemented in a way that hard-codes Vive, NetSuite, CCC ONE, AP statements, or specific vendors.</w:t>
      </w:r>
    </w:p>
    <w:p w14:paraId="0109403A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 xml:space="preserve">For the components below, please design clean reusable interfaces and keep client/domain-specific </w:t>
      </w:r>
      <w:proofErr w:type="spellStart"/>
      <w:r w:rsidRPr="00030FC1">
        <w:rPr>
          <w:rFonts w:ascii="Times New Roman" w:hAnsi="Times New Roman" w:cs="Times New Roman"/>
          <w:kern w:val="0"/>
          <w14:ligatures w14:val="none"/>
        </w:rPr>
        <w:t>behavior</w:t>
      </w:r>
      <w:proofErr w:type="spellEnd"/>
      <w:r w:rsidRPr="00030FC1">
        <w:rPr>
          <w:rFonts w:ascii="Times New Roman" w:hAnsi="Times New Roman" w:cs="Times New Roman"/>
          <w:kern w:val="0"/>
          <w14:ligatures w14:val="none"/>
        </w:rPr>
        <w:t xml:space="preserve"> outside the core.</w:t>
      </w:r>
    </w:p>
    <w:p w14:paraId="5AF1A286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The test should be:</w:t>
      </w:r>
    </w:p>
    <w:p w14:paraId="02F4C407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 xml:space="preserve">If we later build a bank reconciliation, payment reconciliation, </w:t>
      </w:r>
      <w:proofErr w:type="spellStart"/>
      <w:r w:rsidRPr="00030FC1">
        <w:rPr>
          <w:rFonts w:ascii="Times New Roman" w:hAnsi="Times New Roman" w:cs="Times New Roman"/>
          <w:kern w:val="0"/>
          <w14:ligatures w14:val="none"/>
        </w:rPr>
        <w:t>intercompany</w:t>
      </w:r>
      <w:proofErr w:type="spellEnd"/>
      <w:r w:rsidRPr="00030FC1">
        <w:rPr>
          <w:rFonts w:ascii="Times New Roman" w:hAnsi="Times New Roman" w:cs="Times New Roman"/>
          <w:kern w:val="0"/>
          <w14:ligatures w14:val="none"/>
        </w:rPr>
        <w:t xml:space="preserve"> reconciliation, or another AP reconciliation, can we reuse this component without copying and rewriting it?</w:t>
      </w:r>
    </w:p>
    <w:p w14:paraId="0310FB37" w14:textId="77777777" w:rsidR="00030FC1" w:rsidRPr="00030FC1" w:rsidRDefault="00030FC1" w:rsidP="00030F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6BBF14" wp14:editId="2D8E4F96">
                <wp:extent cx="5731510" cy="1270"/>
                <wp:effectExtent l="0" t="31750" r="0" b="36830"/>
                <wp:docPr id="116266829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0D7371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822913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Reconciliation Run Manager</w:t>
      </w:r>
    </w:p>
    <w:p w14:paraId="456EA24D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b/>
          <w:bCs/>
          <w:kern w:val="0"/>
          <w14:ligatures w14:val="none"/>
        </w:rPr>
        <w:t>Priority: High — explicitly reusable</w:t>
      </w:r>
    </w:p>
    <w:p w14:paraId="40554574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This should be a generic service for creating and managing reconciliation runs.</w:t>
      </w:r>
    </w:p>
    <w:p w14:paraId="2256590C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responsibilities</w:t>
      </w:r>
    </w:p>
    <w:p w14:paraId="65A2D608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The Run Manager should support:</w:t>
      </w:r>
    </w:p>
    <w:p w14:paraId="32F9E559" w14:textId="77777777" w:rsidR="00030FC1" w:rsidRPr="00030FC1" w:rsidRDefault="00030FC1" w:rsidP="00030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Create run</w:t>
      </w:r>
    </w:p>
    <w:p w14:paraId="37E04526" w14:textId="77777777" w:rsidR="00030FC1" w:rsidRPr="00030FC1" w:rsidRDefault="00030FC1" w:rsidP="00030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Preview run</w:t>
      </w:r>
    </w:p>
    <w:p w14:paraId="31C99706" w14:textId="77777777" w:rsidR="00030FC1" w:rsidRPr="00030FC1" w:rsidRDefault="00030FC1" w:rsidP="00030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Validate run scope</w:t>
      </w:r>
    </w:p>
    <w:p w14:paraId="1DB3A151" w14:textId="77777777" w:rsidR="00030FC1" w:rsidRPr="00030FC1" w:rsidRDefault="00030FC1" w:rsidP="00030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Freeze run inputs</w:t>
      </w:r>
    </w:p>
    <w:p w14:paraId="0F4055A1" w14:textId="77777777" w:rsidR="00030FC1" w:rsidRPr="00030FC1" w:rsidRDefault="00030FC1" w:rsidP="00030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Start run</w:t>
      </w:r>
    </w:p>
    <w:p w14:paraId="3221B39E" w14:textId="77777777" w:rsidR="00030FC1" w:rsidRPr="00030FC1" w:rsidRDefault="00030FC1" w:rsidP="00030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Track run status</w:t>
      </w:r>
    </w:p>
    <w:p w14:paraId="51F47BBB" w14:textId="77777777" w:rsidR="00030FC1" w:rsidRPr="00030FC1" w:rsidRDefault="00030FC1" w:rsidP="00030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Cancel run</w:t>
      </w:r>
    </w:p>
    <w:p w14:paraId="2B3B8BC7" w14:textId="77777777" w:rsidR="00030FC1" w:rsidRPr="00030FC1" w:rsidRDefault="00030FC1" w:rsidP="00030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Complete run</w:t>
      </w:r>
    </w:p>
    <w:p w14:paraId="266E18C7" w14:textId="77777777" w:rsidR="00030FC1" w:rsidRPr="00030FC1" w:rsidRDefault="00030FC1" w:rsidP="00030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Fail run</w:t>
      </w:r>
    </w:p>
    <w:p w14:paraId="68B948B5" w14:textId="77777777" w:rsidR="00030FC1" w:rsidRPr="00030FC1" w:rsidRDefault="00030FC1" w:rsidP="00030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Reprocess/rerun</w:t>
      </w:r>
    </w:p>
    <w:p w14:paraId="27272D5C" w14:textId="77777777" w:rsidR="00030FC1" w:rsidRPr="00030FC1" w:rsidRDefault="00030FC1" w:rsidP="00030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Maintain run history</w:t>
      </w:r>
    </w:p>
    <w:p w14:paraId="2503E197" w14:textId="77777777" w:rsidR="00030FC1" w:rsidRPr="00030FC1" w:rsidRDefault="00030FC1" w:rsidP="00030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Manage statement/work-item children</w:t>
      </w:r>
    </w:p>
    <w:p w14:paraId="20F2160E" w14:textId="77777777" w:rsidR="00030FC1" w:rsidRPr="00030FC1" w:rsidRDefault="00030FC1" w:rsidP="00030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Idempotent run creation</w:t>
      </w:r>
    </w:p>
    <w:p w14:paraId="0244D368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Generic run model</w:t>
      </w:r>
    </w:p>
    <w:p w14:paraId="256EF8BA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The reusable model should contain concepts such as:</w:t>
      </w:r>
    </w:p>
    <w:p w14:paraId="2D48B70A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run_id</w:t>
      </w:r>
    </w:p>
    <w:p w14:paraId="59A2BF57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reconciliation_type</w:t>
      </w:r>
    </w:p>
    <w:p w14:paraId="53935C19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business_context</w:t>
      </w:r>
    </w:p>
    <w:p w14:paraId="57410FB6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source_scope</w:t>
      </w:r>
    </w:p>
    <w:p w14:paraId="760490C8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target_scope</w:t>
      </w:r>
    </w:p>
    <w:p w14:paraId="2833366E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cutoff_timestamp</w:t>
      </w:r>
    </w:p>
    <w:p w14:paraId="4FBBD17B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created_by</w:t>
      </w:r>
    </w:p>
    <w:p w14:paraId="73604C5F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created_from</w:t>
      </w:r>
    </w:p>
    <w:p w14:paraId="505EDFE8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created_at</w:t>
      </w:r>
    </w:p>
    <w:p w14:paraId="62C0A9CF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run_status</w:t>
      </w:r>
    </w:p>
    <w:p w14:paraId="143F64EF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run_type</w:t>
      </w:r>
    </w:p>
    <w:p w14:paraId="5F0FEC87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configuration_version</w:t>
      </w:r>
    </w:p>
    <w:p w14:paraId="00F1F0BB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input_snapshot_reference</w:t>
      </w:r>
    </w:p>
    <w:p w14:paraId="5CACE8CF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business_context</w:t>
      </w:r>
      <w:r w:rsidRPr="00030FC1">
        <w:rPr>
          <w:rFonts w:ascii="Times New Roman" w:hAnsi="Times New Roman" w:cs="Times New Roman"/>
          <w:kern w:val="0"/>
          <w14:ligatures w14:val="none"/>
        </w:rPr>
        <w:t xml:space="preserve"> should allow the domain implementation to supply fields appropriate to the reconciliation.</w:t>
      </w:r>
    </w:p>
    <w:p w14:paraId="706C33D9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For Vive these might include:</w:t>
      </w:r>
    </w:p>
    <w:p w14:paraId="020E11A8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legal_entity</w:t>
      </w:r>
    </w:p>
    <w:p w14:paraId="70C81D3D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accounting_period</w:t>
      </w:r>
    </w:p>
    <w:p w14:paraId="4816AABE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vendor_scope</w:t>
      </w:r>
    </w:p>
    <w:p w14:paraId="28A115EA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AP_cutoff</w:t>
      </w:r>
    </w:p>
    <w:p w14:paraId="46D27225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A future bank reconciliation might instead use:</w:t>
      </w:r>
    </w:p>
    <w:p w14:paraId="1271E1DE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bank_account</w:t>
      </w:r>
    </w:p>
    <w:p w14:paraId="35F2AEC2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statement_period</w:t>
      </w:r>
    </w:p>
    <w:p w14:paraId="3A27094A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GL_cutoff</w:t>
      </w:r>
    </w:p>
    <w:p w14:paraId="069C3A4C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The Run Manager itself should not understand what a vendor, AP invoice, bank account, or NetSuite record is.</w:t>
      </w:r>
    </w:p>
    <w:p w14:paraId="327523FE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 items</w:t>
      </w:r>
    </w:p>
    <w:p w14:paraId="52F28B75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A run should contain independently processable work items.</w:t>
      </w:r>
    </w:p>
    <w:p w14:paraId="3DDCEC95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Generic concepts:</w:t>
      </w:r>
    </w:p>
    <w:p w14:paraId="5F6CEB3D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run_id</w:t>
      </w:r>
    </w:p>
    <w:p w14:paraId="70897E90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work_item_id</w:t>
      </w:r>
    </w:p>
    <w:p w14:paraId="65C960BB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source_record/group</w:t>
      </w:r>
    </w:p>
    <w:p w14:paraId="7990E0E3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status</w:t>
      </w:r>
    </w:p>
    <w:p w14:paraId="46106770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attempt</w:t>
      </w:r>
    </w:p>
    <w:p w14:paraId="7E5D2101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started_at</w:t>
      </w:r>
    </w:p>
    <w:p w14:paraId="55C82417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completed_at</w:t>
      </w:r>
    </w:p>
    <w:p w14:paraId="7A1D6270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error_status</w:t>
      </w:r>
    </w:p>
    <w:p w14:paraId="54566BF5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For Vive, a work item may correspond to a vendor statement.</w:t>
      </w:r>
    </w:p>
    <w:p w14:paraId="127866DB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Non-goal</w:t>
      </w:r>
    </w:p>
    <w:p w14:paraId="300E92A9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Do not create a universal configuration language for all possible reconciliation types.</w:t>
      </w:r>
    </w:p>
    <w:p w14:paraId="3A1D3297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We only need a clean run abstraction and extension points for business context.</w:t>
      </w:r>
    </w:p>
    <w:p w14:paraId="0D2A927E" w14:textId="77777777" w:rsidR="00030FC1" w:rsidRPr="00030FC1" w:rsidRDefault="00030FC1" w:rsidP="00030F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9007DB" wp14:editId="7B8A38A4">
                <wp:extent cx="5731510" cy="1270"/>
                <wp:effectExtent l="0" t="31750" r="0" b="36830"/>
                <wp:docPr id="112726566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F4008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4291C3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Document / Source Data Registry</w:t>
      </w:r>
    </w:p>
    <w:p w14:paraId="55DEC333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b/>
          <w:bCs/>
          <w:kern w:val="0"/>
          <w14:ligatures w14:val="none"/>
        </w:rPr>
        <w:t>Priority: High — explicitly reusable</w:t>
      </w:r>
    </w:p>
    <w:p w14:paraId="5DF361CE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 xml:space="preserve">The system needs a generic registry for the source </w:t>
      </w:r>
      <w:proofErr w:type="spellStart"/>
      <w:r w:rsidRPr="00030FC1">
        <w:rPr>
          <w:rFonts w:ascii="Times New Roman" w:hAnsi="Times New Roman" w:cs="Times New Roman"/>
          <w:kern w:val="0"/>
          <w14:ligatures w14:val="none"/>
        </w:rPr>
        <w:t>artifacts</w:t>
      </w:r>
      <w:proofErr w:type="spellEnd"/>
      <w:r w:rsidRPr="00030FC1">
        <w:rPr>
          <w:rFonts w:ascii="Times New Roman" w:hAnsi="Times New Roman" w:cs="Times New Roman"/>
          <w:kern w:val="0"/>
          <w14:ligatures w14:val="none"/>
        </w:rPr>
        <w:t xml:space="preserve"> used in reconciliation.</w:t>
      </w:r>
    </w:p>
    <w:p w14:paraId="5CFBF35A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responsibilities</w:t>
      </w:r>
    </w:p>
    <w:p w14:paraId="48B3A387" w14:textId="77777777" w:rsidR="00030FC1" w:rsidRPr="00030FC1" w:rsidRDefault="00030FC1" w:rsidP="00030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Register source document/data asset</w:t>
      </w:r>
    </w:p>
    <w:p w14:paraId="2E955819" w14:textId="77777777" w:rsidR="00030FC1" w:rsidRPr="00030FC1" w:rsidRDefault="00030FC1" w:rsidP="00030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Record origin and provenance</w:t>
      </w:r>
    </w:p>
    <w:p w14:paraId="326179B2" w14:textId="77777777" w:rsidR="00030FC1" w:rsidRPr="00030FC1" w:rsidRDefault="00030FC1" w:rsidP="00030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Generate content hash</w:t>
      </w:r>
    </w:p>
    <w:p w14:paraId="6086677F" w14:textId="77777777" w:rsidR="00030FC1" w:rsidRPr="00030FC1" w:rsidRDefault="00030FC1" w:rsidP="00030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Detect duplicate ingestion</w:t>
      </w:r>
    </w:p>
    <w:p w14:paraId="1F3D5811" w14:textId="77777777" w:rsidR="00030FC1" w:rsidRPr="00030FC1" w:rsidRDefault="00030FC1" w:rsidP="00030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Maintain versions</w:t>
      </w:r>
    </w:p>
    <w:p w14:paraId="0F68515B" w14:textId="77777777" w:rsidR="00030FC1" w:rsidRPr="00030FC1" w:rsidRDefault="00030FC1" w:rsidP="00030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Track validation status</w:t>
      </w:r>
    </w:p>
    <w:p w14:paraId="3005C6FB" w14:textId="77777777" w:rsidR="00030FC1" w:rsidRPr="00030FC1" w:rsidRDefault="00030FC1" w:rsidP="00030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Track processing status</w:t>
      </w:r>
    </w:p>
    <w:p w14:paraId="68AF6A7D" w14:textId="77777777" w:rsidR="00030FC1" w:rsidRPr="00030FC1" w:rsidRDefault="00030FC1" w:rsidP="00030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Record superseding documents</w:t>
      </w:r>
    </w:p>
    <w:p w14:paraId="2C953F6A" w14:textId="77777777" w:rsidR="00030FC1" w:rsidRPr="00030FC1" w:rsidRDefault="00030FC1" w:rsidP="00030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Associate documents with reconciliation runs</w:t>
      </w:r>
    </w:p>
    <w:p w14:paraId="74AE7E9A" w14:textId="77777777" w:rsidR="00030FC1" w:rsidRPr="00030FC1" w:rsidRDefault="00030FC1" w:rsidP="00030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Preserve immutable source references</w:t>
      </w:r>
    </w:p>
    <w:p w14:paraId="653BC384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Generic registry model</w:t>
      </w:r>
    </w:p>
    <w:p w14:paraId="40C89C9C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Conceptually:</w:t>
      </w:r>
    </w:p>
    <w:p w14:paraId="6B2CD799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artifact_id</w:t>
      </w:r>
      <w:proofErr w:type="spellEnd"/>
    </w:p>
    <w:p w14:paraId="3257FB00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artifact_type</w:t>
      </w:r>
      <w:proofErr w:type="spellEnd"/>
    </w:p>
    <w:p w14:paraId="7444F08F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source_system</w:t>
      </w:r>
    </w:p>
    <w:p w14:paraId="13CD9BAF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source_location</w:t>
      </w:r>
    </w:p>
    <w:p w14:paraId="51DA341B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content_hash</w:t>
      </w:r>
    </w:p>
    <w:p w14:paraId="3B0DDE1B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received_at</w:t>
      </w:r>
    </w:p>
    <w:p w14:paraId="1E0E73AC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version</w:t>
      </w:r>
    </w:p>
    <w:p w14:paraId="2B785A5D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supersedes_artifact_id</w:t>
      </w:r>
      <w:proofErr w:type="spellEnd"/>
    </w:p>
    <w:p w14:paraId="432F6333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business_metadata</w:t>
      </w:r>
    </w:p>
    <w:p w14:paraId="0BFD64F6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validation_status</w:t>
      </w:r>
    </w:p>
    <w:p w14:paraId="1316E525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processing_status</w:t>
      </w:r>
    </w:p>
    <w:p w14:paraId="7061839F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For Vive:</w:t>
      </w:r>
    </w:p>
    <w:p w14:paraId="68035A07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artifact_type</w:t>
      </w:r>
      <w:proofErr w:type="spellEnd"/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vendor_statement</w:t>
      </w:r>
    </w:p>
    <w:p w14:paraId="63A1B4B4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business_metadata = vendor, period, legal_entity</w:t>
      </w:r>
    </w:p>
    <w:p w14:paraId="4D9E4863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Future use cases may register:</w:t>
      </w:r>
    </w:p>
    <w:p w14:paraId="4C4BE67D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bank_statement</w:t>
      </w:r>
    </w:p>
    <w:p w14:paraId="16D6322A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settlement_file</w:t>
      </w:r>
    </w:p>
    <w:p w14:paraId="324F2630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remittance_file</w:t>
      </w:r>
    </w:p>
    <w:p w14:paraId="2178CA5E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ledger_extract</w:t>
      </w:r>
    </w:p>
    <w:p w14:paraId="31F84434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inventory_file</w:t>
      </w:r>
    </w:p>
    <w:p w14:paraId="1C5D4061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Storage separation</w:t>
      </w:r>
    </w:p>
    <w:p w14:paraId="407B99A3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Blob/S3/file-system location must remain implementation detail.</w:t>
      </w:r>
    </w:p>
    <w:p w14:paraId="60C1D83B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The registry is the authoritative record of what data exists and its state.</w:t>
      </w:r>
    </w:p>
    <w:p w14:paraId="07913D5B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Non-goal</w:t>
      </w:r>
    </w:p>
    <w:p w14:paraId="69EB9171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Do not attempt to define one canonical business schema that covers every possible reconciliation domain.</w:t>
      </w:r>
    </w:p>
    <w:p w14:paraId="0D377D89" w14:textId="77777777" w:rsidR="00030FC1" w:rsidRPr="00030FC1" w:rsidRDefault="00030FC1" w:rsidP="00030F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ABF4DA" wp14:editId="5FDCF9AE">
                <wp:extent cx="5731510" cy="1270"/>
                <wp:effectExtent l="0" t="31750" r="0" b="36830"/>
                <wp:docPr id="61994316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E1E75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4D7B050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Reconciliation Pipeline Framework</w:t>
      </w:r>
    </w:p>
    <w:p w14:paraId="0193A1BE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b/>
          <w:bCs/>
          <w:kern w:val="0"/>
          <w14:ligatures w14:val="none"/>
        </w:rPr>
        <w:t>Priority: High — reusable orchestration, domain-specific logic remains pluggable</w:t>
      </w:r>
    </w:p>
    <w:p w14:paraId="17B09DBD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The sequence through which records are reconciled should be reusable even though the actual rules differ.</w:t>
      </w:r>
    </w:p>
    <w:p w14:paraId="6DA0197A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Standard processing stages</w:t>
      </w:r>
    </w:p>
    <w:p w14:paraId="31FE3D0B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The framework should support:</w:t>
      </w:r>
    </w:p>
    <w:p w14:paraId="01789775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Normalize</w:t>
      </w:r>
      <w:proofErr w:type="spellEnd"/>
    </w:p>
    <w:p w14:paraId="0A57096C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8112444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Generate Candidates</w:t>
      </w:r>
    </w:p>
    <w:p w14:paraId="54A9143D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57A4DFC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Deterministic Match</w:t>
      </w:r>
    </w:p>
    <w:p w14:paraId="700EB6FA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F8E8D60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Rule-Based Match</w:t>
      </w:r>
    </w:p>
    <w:p w14:paraId="1AD2A61F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E3BABAF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AI-Assisted Resolution</w:t>
      </w:r>
    </w:p>
    <w:p w14:paraId="723629CB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2EE4D0E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Decision Policy</w:t>
      </w:r>
    </w:p>
    <w:p w14:paraId="2B0ED2C0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2B7E038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Human Review if required</w:t>
      </w:r>
    </w:p>
    <w:p w14:paraId="1321C7B2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1F6BB2D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Final Disposition</w:t>
      </w:r>
    </w:p>
    <w:p w14:paraId="41777A13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Each stage should have a defined interface.</w:t>
      </w:r>
    </w:p>
    <w:p w14:paraId="1F9304BE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distinction</w:t>
      </w:r>
    </w:p>
    <w:p w14:paraId="6629BEB1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 xml:space="preserve">The </w:t>
      </w:r>
      <w:r w:rsidRPr="00030FC1">
        <w:rPr>
          <w:rFonts w:ascii="Times New Roman" w:hAnsi="Times New Roman" w:cs="Times New Roman"/>
          <w:b/>
          <w:bCs/>
          <w:kern w:val="0"/>
          <w14:ligatures w14:val="none"/>
        </w:rPr>
        <w:t>pipeline is reusable</w:t>
      </w:r>
      <w:r w:rsidRPr="00030FC1">
        <w:rPr>
          <w:rFonts w:ascii="Times New Roman" w:hAnsi="Times New Roman" w:cs="Times New Roman"/>
          <w:kern w:val="0"/>
          <w14:ligatures w14:val="none"/>
        </w:rPr>
        <w:t>.</w:t>
      </w:r>
    </w:p>
    <w:p w14:paraId="6A858C0D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The following are domain-specific and should be injected/configured:</w:t>
      </w:r>
    </w:p>
    <w:p w14:paraId="205AC350" w14:textId="77777777" w:rsidR="00030FC1" w:rsidRPr="00030FC1" w:rsidRDefault="00030FC1" w:rsidP="00030F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30F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normalization</w:t>
      </w:r>
      <w:proofErr w:type="spellEnd"/>
      <w:r w:rsidRPr="00030FC1">
        <w:rPr>
          <w:rFonts w:ascii="Times New Roman" w:eastAsia="Times New Roman" w:hAnsi="Times New Roman" w:cs="Times New Roman"/>
          <w:kern w:val="0"/>
          <w14:ligatures w14:val="none"/>
        </w:rPr>
        <w:t xml:space="preserve"> functions;</w:t>
      </w:r>
    </w:p>
    <w:p w14:paraId="55039FD0" w14:textId="77777777" w:rsidR="00030FC1" w:rsidRPr="00030FC1" w:rsidRDefault="00030FC1" w:rsidP="00030F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candidate-generation rules;</w:t>
      </w:r>
    </w:p>
    <w:p w14:paraId="0716E0E8" w14:textId="77777777" w:rsidR="00030FC1" w:rsidRPr="00030FC1" w:rsidRDefault="00030FC1" w:rsidP="00030F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exact-match rules;</w:t>
      </w:r>
    </w:p>
    <w:p w14:paraId="13BEDECE" w14:textId="77777777" w:rsidR="00030FC1" w:rsidRPr="00030FC1" w:rsidRDefault="00030FC1" w:rsidP="00030F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tolerances;</w:t>
      </w:r>
    </w:p>
    <w:p w14:paraId="1C7632FF" w14:textId="77777777" w:rsidR="00030FC1" w:rsidRPr="00030FC1" w:rsidRDefault="00030FC1" w:rsidP="00030F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business matching rules;</w:t>
      </w:r>
    </w:p>
    <w:p w14:paraId="7D8F0FEA" w14:textId="77777777" w:rsidR="00030FC1" w:rsidRPr="00030FC1" w:rsidRDefault="00030FC1" w:rsidP="00030F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AI prompt/context;</w:t>
      </w:r>
    </w:p>
    <w:p w14:paraId="74627572" w14:textId="77777777" w:rsidR="00030FC1" w:rsidRPr="00030FC1" w:rsidRDefault="00030FC1" w:rsidP="00030F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auto-approval policy;</w:t>
      </w:r>
    </w:p>
    <w:p w14:paraId="004096C5" w14:textId="77777777" w:rsidR="00030FC1" w:rsidRPr="00030FC1" w:rsidRDefault="00030FC1" w:rsidP="00030F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exception categories.</w:t>
      </w:r>
    </w:p>
    <w:p w14:paraId="48E4BCE3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For Vive, examples include invoice number, RO number, vendor, amount, credits, etc.</w:t>
      </w:r>
    </w:p>
    <w:p w14:paraId="0A2F2896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Those must not become assumptions inside the generic pipeline engine.</w:t>
      </w:r>
    </w:p>
    <w:p w14:paraId="4E34B55E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Pipeline result contract</w:t>
      </w:r>
    </w:p>
    <w:p w14:paraId="571EBDCD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Every stage should return structured results rather than arbitrary strings.</w:t>
      </w:r>
    </w:p>
    <w:p w14:paraId="51643577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For example:</w:t>
      </w:r>
    </w:p>
    <w:p w14:paraId="0C6407D3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stage</w:t>
      </w:r>
    </w:p>
    <w:p w14:paraId="748CEB36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status</w:t>
      </w:r>
    </w:p>
    <w:p w14:paraId="5D287458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candidate_ids</w:t>
      </w:r>
    </w:p>
    <w:p w14:paraId="74044C3A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reason_codes</w:t>
      </w:r>
    </w:p>
    <w:p w14:paraId="63ED3B5D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evidence</w:t>
      </w:r>
    </w:p>
    <w:p w14:paraId="1F0B4703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confidence/scoring where applicable</w:t>
      </w:r>
    </w:p>
    <w:p w14:paraId="0EB00AF8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requires_review</w:t>
      </w:r>
    </w:p>
    <w:p w14:paraId="12A18D82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Non-goal</w:t>
      </w:r>
    </w:p>
    <w:p w14:paraId="5ABE7DA8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Do not build a rules DSL or configurable low-code reconciliation engine in V1.</w:t>
      </w:r>
    </w:p>
    <w:p w14:paraId="58E7702B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Standard interfaces are sufficient.</w:t>
      </w:r>
    </w:p>
    <w:p w14:paraId="41C70F2B" w14:textId="77777777" w:rsidR="00030FC1" w:rsidRPr="00030FC1" w:rsidRDefault="00030FC1" w:rsidP="00030F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6361AD" wp14:editId="6EA70A81">
                <wp:extent cx="5731510" cy="1270"/>
                <wp:effectExtent l="0" t="31750" r="0" b="36830"/>
                <wp:docPr id="41165514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DEB1F3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C9DAD88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Decision and Audit Ledger</w:t>
      </w:r>
    </w:p>
    <w:p w14:paraId="1816E3C5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b/>
          <w:bCs/>
          <w:kern w:val="0"/>
          <w14:ligatures w14:val="none"/>
        </w:rPr>
        <w:t>Priority: High — explicitly reusable</w:t>
      </w:r>
    </w:p>
    <w:p w14:paraId="412CBA3C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This should be designed as a generic reconciliation decision ledger, not an AP-specific history table.</w:t>
      </w:r>
    </w:p>
    <w:p w14:paraId="6BF15614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248025A5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For any reconciliation decision, the system should be able to reconstruct:</w:t>
      </w:r>
    </w:p>
    <w:p w14:paraId="6330DF77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What was evaluated, what alternatives were considered, what decision was recommended, why, what a human did, and what the final outcome was.</w:t>
      </w:r>
    </w:p>
    <w:p w14:paraId="64F9BEBB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Generic ledger concepts</w:t>
      </w:r>
    </w:p>
    <w:p w14:paraId="5C16F85A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run_id</w:t>
      </w:r>
    </w:p>
    <w:p w14:paraId="78428E87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work_item_id</w:t>
      </w:r>
    </w:p>
    <w:p w14:paraId="2C62B839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source_record_id</w:t>
      </w:r>
    </w:p>
    <w:p w14:paraId="62421AD4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target_candidate_ids</w:t>
      </w:r>
    </w:p>
    <w:p w14:paraId="1D0C12BB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input_snapshot/version</w:t>
      </w:r>
    </w:p>
    <w:p w14:paraId="73374FFF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evidence</w:t>
      </w:r>
    </w:p>
    <w:p w14:paraId="2C04CF17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rules_evaluated</w:t>
      </w:r>
    </w:p>
    <w:p w14:paraId="4F897CF2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rule_results</w:t>
      </w:r>
    </w:p>
    <w:p w14:paraId="688B36B7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AI_invoked</w:t>
      </w:r>
    </w:p>
    <w:p w14:paraId="3FBEEC69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AI_result</w:t>
      </w:r>
    </w:p>
    <w:p w14:paraId="1A80617F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model_version</w:t>
      </w:r>
    </w:p>
    <w:p w14:paraId="4A290773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prompt_version</w:t>
      </w:r>
    </w:p>
    <w:p w14:paraId="230F971A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configuration_version</w:t>
      </w:r>
    </w:p>
    <w:p w14:paraId="28248F7F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system_recommendation</w:t>
      </w:r>
    </w:p>
    <w:p w14:paraId="1DA1C6D1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reason_codes</w:t>
      </w:r>
    </w:p>
    <w:p w14:paraId="625504EF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human_review_required</w:t>
      </w:r>
    </w:p>
    <w:p w14:paraId="72AB29D3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human_decision</w:t>
      </w:r>
    </w:p>
    <w:p w14:paraId="2B707E29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reviewed_by</w:t>
      </w:r>
    </w:p>
    <w:p w14:paraId="15A4C423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reviewed_at</w:t>
      </w:r>
    </w:p>
    <w:p w14:paraId="6D053300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final_disposition</w:t>
      </w:r>
    </w:p>
    <w:p w14:paraId="7B82815B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created_at</w:t>
      </w:r>
    </w:p>
    <w:p w14:paraId="58A971B9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decision_version</w:t>
      </w:r>
    </w:p>
    <w:p w14:paraId="777CB52C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supersedes_decision_id</w:t>
      </w:r>
    </w:p>
    <w:p w14:paraId="063F5991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Requirements</w:t>
      </w:r>
    </w:p>
    <w:p w14:paraId="475BB776" w14:textId="77777777" w:rsidR="00030FC1" w:rsidRPr="00030FC1" w:rsidRDefault="00030FC1" w:rsidP="00030F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Append-only decision history</w:t>
      </w:r>
    </w:p>
    <w:p w14:paraId="249A1504" w14:textId="77777777" w:rsidR="00030FC1" w:rsidRPr="00030FC1" w:rsidRDefault="00030FC1" w:rsidP="00030F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Never silently overwrite prior decisions</w:t>
      </w:r>
    </w:p>
    <w:p w14:paraId="46250A8D" w14:textId="77777777" w:rsidR="00030FC1" w:rsidRPr="00030FC1" w:rsidRDefault="00030FC1" w:rsidP="00030F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Reprocessing produces another decision/version</w:t>
      </w:r>
    </w:p>
    <w:p w14:paraId="1612A3BC" w14:textId="77777777" w:rsidR="00030FC1" w:rsidRPr="00030FC1" w:rsidRDefault="00030FC1" w:rsidP="00030F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Human overrides preserved</w:t>
      </w:r>
    </w:p>
    <w:p w14:paraId="642014F9" w14:textId="77777777" w:rsidR="00030FC1" w:rsidRPr="00030FC1" w:rsidRDefault="00030FC1" w:rsidP="00030F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AI and deterministic decisions represented consistently</w:t>
      </w:r>
    </w:p>
    <w:p w14:paraId="3DD17EB5" w14:textId="77777777" w:rsidR="00030FC1" w:rsidRPr="00030FC1" w:rsidRDefault="00030FC1" w:rsidP="00030F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Current application state can be derived separately from historical audit history</w:t>
      </w:r>
    </w:p>
    <w:p w14:paraId="28F6AEF6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Non-goal</w:t>
      </w:r>
    </w:p>
    <w:p w14:paraId="1AA2D89B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 xml:space="preserve">The ledger should not contain Vive-specific fields such as </w:t>
      </w: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NetSuiteInvoiceNumber</w:t>
      </w:r>
      <w:r w:rsidRPr="00030FC1">
        <w:rPr>
          <w:rFonts w:ascii="Times New Roman" w:hAnsi="Times New Roman" w:cs="Times New Roman"/>
          <w:kern w:val="0"/>
          <w14:ligatures w14:val="none"/>
        </w:rPr>
        <w:t xml:space="preserve"> as first-class generic columns unless they belong inside domain-specific evidence/metadata.</w:t>
      </w:r>
    </w:p>
    <w:p w14:paraId="745C5F7D" w14:textId="77777777" w:rsidR="00030FC1" w:rsidRPr="00030FC1" w:rsidRDefault="00030FC1" w:rsidP="00030F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4ADCD8" wp14:editId="6807062F">
                <wp:extent cx="5731510" cy="1270"/>
                <wp:effectExtent l="0" t="31750" r="0" b="36830"/>
                <wp:docPr id="181017245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14B556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6C82C8F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Evaluation Harness</w:t>
      </w:r>
    </w:p>
    <w:p w14:paraId="18621DE1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b/>
          <w:bCs/>
          <w:kern w:val="0"/>
          <w14:ligatures w14:val="none"/>
        </w:rPr>
        <w:t>Priority: High — explicitly reusable</w:t>
      </w:r>
    </w:p>
    <w:p w14:paraId="0720EF7F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The evaluation harness should test a reconciliation implementation against a known set of expected outcomes.</w:t>
      </w:r>
    </w:p>
    <w:p w14:paraId="15909BCE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The harness itself should be domain-independent.</w:t>
      </w:r>
    </w:p>
    <w:p w14:paraId="67B5D7F2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Each reconciliation use case supplies its own golden dataset.</w:t>
      </w:r>
    </w:p>
    <w:p w14:paraId="462A3BE6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Generic golden-case structure</w:t>
      </w:r>
    </w:p>
    <w:p w14:paraId="5D48D05A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lastRenderedPageBreak/>
        <w:t>Conceptually:</w:t>
      </w:r>
    </w:p>
    <w:p w14:paraId="4D6DF8D1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case_id</w:t>
      </w:r>
    </w:p>
    <w:p w14:paraId="0EEF47E4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reconciliation_type</w:t>
      </w:r>
    </w:p>
    <w:p w14:paraId="0CA5A0C4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input_artifacts</w:t>
      </w:r>
      <w:proofErr w:type="spellEnd"/>
    </w:p>
    <w:p w14:paraId="491535C0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source_records</w:t>
      </w:r>
    </w:p>
    <w:p w14:paraId="4DBBE994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target_records</w:t>
      </w:r>
    </w:p>
    <w:p w14:paraId="3CFCC302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expected_matches</w:t>
      </w:r>
    </w:p>
    <w:p w14:paraId="47D20150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expected_exceptions</w:t>
      </w:r>
    </w:p>
    <w:p w14:paraId="5E892EE1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expected_review_required</w:t>
      </w:r>
    </w:p>
    <w:p w14:paraId="4FD85F41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forbidden_matches</w:t>
      </w:r>
    </w:p>
    <w:p w14:paraId="3ACB2192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case_category</w:t>
      </w:r>
    </w:p>
    <w:p w14:paraId="1DD3B987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severity</w:t>
      </w:r>
    </w:p>
    <w:p w14:paraId="5E814190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Harness responsibilities</w:t>
      </w:r>
    </w:p>
    <w:p w14:paraId="1FBD2322" w14:textId="77777777" w:rsidR="00030FC1" w:rsidRPr="00030FC1" w:rsidRDefault="00030FC1" w:rsidP="00030F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Execute golden cases through the same reconciliation service used in production</w:t>
      </w:r>
    </w:p>
    <w:p w14:paraId="35F97F75" w14:textId="77777777" w:rsidR="00030FC1" w:rsidRPr="00030FC1" w:rsidRDefault="00030FC1" w:rsidP="00030F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Compare actual vs. expected outcomes</w:t>
      </w:r>
    </w:p>
    <w:p w14:paraId="3F9B7682" w14:textId="77777777" w:rsidR="00030FC1" w:rsidRPr="00030FC1" w:rsidRDefault="00030FC1" w:rsidP="00030F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Identify regressions</w:t>
      </w:r>
    </w:p>
    <w:p w14:paraId="4A1E2C3F" w14:textId="77777777" w:rsidR="00030FC1" w:rsidRPr="00030FC1" w:rsidRDefault="00030FC1" w:rsidP="00030F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Compare versions</w:t>
      </w:r>
    </w:p>
    <w:p w14:paraId="0294509F" w14:textId="77777777" w:rsidR="00030FC1" w:rsidRPr="00030FC1" w:rsidRDefault="00030FC1" w:rsidP="00030F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Produce standard metrics</w:t>
      </w:r>
    </w:p>
    <w:p w14:paraId="0EE58E2D" w14:textId="77777777" w:rsidR="00030FC1" w:rsidRPr="00030FC1" w:rsidRDefault="00030FC1" w:rsidP="00030F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Preserve historical evaluation results</w:t>
      </w:r>
    </w:p>
    <w:p w14:paraId="178C007C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Standard metrics</w:t>
      </w:r>
    </w:p>
    <w:p w14:paraId="70FB5F00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At minimum:</w:t>
      </w:r>
    </w:p>
    <w:p w14:paraId="7678678D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false-match rate</w:t>
      </w:r>
    </w:p>
    <w:p w14:paraId="0429834A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straight-through processing rate</w:t>
      </w:r>
    </w:p>
    <w:p w14:paraId="479E531F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exception detection / recall</w:t>
      </w:r>
    </w:p>
    <w:p w14:paraId="1FE7B0AB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human-review requirement rate</w:t>
      </w:r>
    </w:p>
    <w:p w14:paraId="167152E3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recommendation accuracy</w:t>
      </w:r>
    </w:p>
    <w:p w14:paraId="14857BE0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For production-derived data, also track:</w:t>
      </w:r>
    </w:p>
    <w:p w14:paraId="5FEDF6B2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human override rate</w:t>
      </w:r>
    </w:p>
    <w:p w14:paraId="471DFEF4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AI recommendation acceptance rate</w:t>
      </w:r>
    </w:p>
    <w:p w14:paraId="64CAACE2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 xml:space="preserve">Results should be </w:t>
      </w:r>
      <w:proofErr w:type="spellStart"/>
      <w:r w:rsidRPr="00030FC1">
        <w:rPr>
          <w:rFonts w:ascii="Times New Roman" w:hAnsi="Times New Roman" w:cs="Times New Roman"/>
          <w:kern w:val="0"/>
          <w14:ligatures w14:val="none"/>
        </w:rPr>
        <w:t>segmentable</w:t>
      </w:r>
      <w:proofErr w:type="spellEnd"/>
      <w:r w:rsidRPr="00030FC1">
        <w:rPr>
          <w:rFonts w:ascii="Times New Roman" w:hAnsi="Times New Roman" w:cs="Times New Roman"/>
          <w:kern w:val="0"/>
          <w14:ligatures w14:val="none"/>
        </w:rPr>
        <w:t xml:space="preserve"> by reconciliation path:</w:t>
      </w:r>
    </w:p>
    <w:p w14:paraId="4E573690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exact</w:t>
      </w:r>
    </w:p>
    <w:p w14:paraId="02D511B3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rule-based</w:t>
      </w:r>
    </w:p>
    <w:p w14:paraId="4314BC45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AI-assisted</w:t>
      </w:r>
    </w:p>
    <w:p w14:paraId="0D877E69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exception</w:t>
      </w:r>
    </w:p>
    <w:p w14:paraId="2209365F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Extraction evaluation</w:t>
      </w:r>
    </w:p>
    <w:p w14:paraId="5677A524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Because Vive uses LLM-based document extraction, the harness should support a separate extraction-evaluation stage.</w:t>
      </w:r>
    </w:p>
    <w:p w14:paraId="47072C9F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Conceptually:</w:t>
      </w:r>
    </w:p>
    <w:p w14:paraId="7947A1BB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Original document</w:t>
      </w:r>
    </w:p>
    <w:p w14:paraId="4C147832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853FA58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Extraction evaluation</w:t>
      </w:r>
    </w:p>
    <w:p w14:paraId="58B7D630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FA0CF93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Expected canonical values</w:t>
      </w:r>
    </w:p>
    <w:p w14:paraId="7747EF99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DBFBF70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Reconciliation evaluation</w:t>
      </w:r>
    </w:p>
    <w:p w14:paraId="601FF318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4BDBD87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Expected reconciliation result</w:t>
      </w:r>
    </w:p>
    <w:p w14:paraId="3E1CCDC4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This lets us distinguish extraction failures from reconciliation failures.</w:t>
      </w:r>
    </w:p>
    <w:p w14:paraId="720EBD5B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Non-goal</w:t>
      </w:r>
    </w:p>
    <w:p w14:paraId="3A832E24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 xml:space="preserve">No dedicated evaluation platform, </w:t>
      </w:r>
      <w:proofErr w:type="spellStart"/>
      <w:r w:rsidRPr="00030FC1">
        <w:rPr>
          <w:rFonts w:ascii="Times New Roman" w:hAnsi="Times New Roman" w:cs="Times New Roman"/>
          <w:kern w:val="0"/>
          <w14:ligatures w14:val="none"/>
        </w:rPr>
        <w:t>Langfuse</w:t>
      </w:r>
      <w:proofErr w:type="spellEnd"/>
      <w:r w:rsidRPr="00030FC1">
        <w:rPr>
          <w:rFonts w:ascii="Times New Roman" w:hAnsi="Times New Roman" w:cs="Times New Roman"/>
          <w:kern w:val="0"/>
          <w14:ligatures w14:val="none"/>
        </w:rPr>
        <w:t>, LLM-as-judge framework, or sophisticated experiment-management system is required for V1.</w:t>
      </w:r>
    </w:p>
    <w:p w14:paraId="558DEC13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A straightforward automated regression harness is sufficient.</w:t>
      </w:r>
    </w:p>
    <w:p w14:paraId="40A67C4E" w14:textId="77777777" w:rsidR="00030FC1" w:rsidRPr="00030FC1" w:rsidRDefault="00030FC1" w:rsidP="00030F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85305B" wp14:editId="409D19DB">
                <wp:extent cx="5731510" cy="1270"/>
                <wp:effectExtent l="0" t="31750" r="0" b="36830"/>
                <wp:docPr id="161581610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07ABE5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DFB8949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Observability and Correlation Package</w:t>
      </w:r>
    </w:p>
    <w:p w14:paraId="45CEA443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b/>
          <w:bCs/>
          <w:kern w:val="0"/>
          <w14:ligatures w14:val="none"/>
        </w:rPr>
        <w:t xml:space="preserve">Priority: Medium/High — easy to </w:t>
      </w:r>
      <w:proofErr w:type="spellStart"/>
      <w:r w:rsidRPr="00030FC1">
        <w:rPr>
          <w:rFonts w:ascii="Times New Roman" w:hAnsi="Times New Roman" w:cs="Times New Roman"/>
          <w:b/>
          <w:bCs/>
          <w:kern w:val="0"/>
          <w14:ligatures w14:val="none"/>
        </w:rPr>
        <w:t>standardize</w:t>
      </w:r>
      <w:proofErr w:type="spellEnd"/>
      <w:r w:rsidRPr="00030FC1">
        <w:rPr>
          <w:rFonts w:ascii="Times New Roman" w:hAnsi="Times New Roman" w:cs="Times New Roman"/>
          <w:b/>
          <w:bCs/>
          <w:kern w:val="0"/>
          <w14:ligatures w14:val="none"/>
        </w:rPr>
        <w:t xml:space="preserve"> now</w:t>
      </w:r>
    </w:p>
    <w:p w14:paraId="23808A04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Telemetry instrumentation should be reusable across reconciliation applications.</w:t>
      </w:r>
    </w:p>
    <w:p w14:paraId="153B6F9B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Standard correlation identifiers</w:t>
      </w:r>
    </w:p>
    <w:p w14:paraId="243550F9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Every service involved in processing should propagate:</w:t>
      </w:r>
    </w:p>
    <w:p w14:paraId="2C7014C2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trace_id</w:t>
      </w:r>
    </w:p>
    <w:p w14:paraId="62D92812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correlation_id</w:t>
      </w:r>
    </w:p>
    <w:p w14:paraId="3FE33353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run_id</w:t>
      </w:r>
    </w:p>
    <w:p w14:paraId="0A34C981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work_item_id</w:t>
      </w:r>
    </w:p>
    <w:p w14:paraId="2622FEE1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artifact</w:t>
      </w:r>
      <w:proofErr w:type="spellEnd"/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/document_id</w:t>
      </w:r>
    </w:p>
    <w:p w14:paraId="2798CD3D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Instrumentation</w:t>
      </w:r>
    </w:p>
    <w:p w14:paraId="2C066C49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Use OpenTelemetry-compatible instrumentation for:</w:t>
      </w:r>
    </w:p>
    <w:p w14:paraId="0D74FF2B" w14:textId="77777777" w:rsidR="00030FC1" w:rsidRPr="00030FC1" w:rsidRDefault="00030FC1" w:rsidP="00030F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API requests</w:t>
      </w:r>
    </w:p>
    <w:p w14:paraId="5C6DD582" w14:textId="77777777" w:rsidR="00030FC1" w:rsidRPr="00030FC1" w:rsidRDefault="00030FC1" w:rsidP="00030F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worker execution</w:t>
      </w:r>
    </w:p>
    <w:p w14:paraId="7CA4C19A" w14:textId="77777777" w:rsidR="00030FC1" w:rsidRPr="00030FC1" w:rsidRDefault="00030FC1" w:rsidP="00030F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extraction</w:t>
      </w:r>
    </w:p>
    <w:p w14:paraId="57A427EE" w14:textId="77777777" w:rsidR="00030FC1" w:rsidRPr="00030FC1" w:rsidRDefault="00030FC1" w:rsidP="00030F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matching</w:t>
      </w:r>
    </w:p>
    <w:p w14:paraId="4F9CC062" w14:textId="77777777" w:rsidR="00030FC1" w:rsidRPr="00030FC1" w:rsidRDefault="00030FC1" w:rsidP="00030F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AI calls</w:t>
      </w:r>
    </w:p>
    <w:p w14:paraId="4B8D5128" w14:textId="77777777" w:rsidR="00030FC1" w:rsidRPr="00030FC1" w:rsidRDefault="00030FC1" w:rsidP="00030F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database access</w:t>
      </w:r>
    </w:p>
    <w:p w14:paraId="076F5868" w14:textId="77777777" w:rsidR="00030FC1" w:rsidRPr="00030FC1" w:rsidRDefault="00030FC1" w:rsidP="00030F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external-system calls</w:t>
      </w:r>
    </w:p>
    <w:p w14:paraId="559F3E55" w14:textId="77777777" w:rsidR="00030FC1" w:rsidRPr="00030FC1" w:rsidRDefault="00030FC1" w:rsidP="00030F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orchestration calls</w:t>
      </w:r>
    </w:p>
    <w:p w14:paraId="592737B1" w14:textId="77777777" w:rsidR="00030FC1" w:rsidRPr="00030FC1" w:rsidRDefault="00030FC1" w:rsidP="00030F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retries/failures</w:t>
      </w:r>
    </w:p>
    <w:p w14:paraId="509061F5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Separation of concerns</w:t>
      </w:r>
    </w:p>
    <w:p w14:paraId="4E0AD9FB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lastRenderedPageBreak/>
        <w:t>Keep these concepts distinct:</w:t>
      </w:r>
    </w:p>
    <w:p w14:paraId="11595431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Operational telemetry</w:t>
      </w:r>
    </w:p>
    <w:p w14:paraId="2AFFA5C2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→ What happened technically?</w:t>
      </w:r>
    </w:p>
    <w:p w14:paraId="2C86C1AB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8C08DD2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Decision/Audit Ledger</w:t>
      </w:r>
    </w:p>
    <w:p w14:paraId="1E0D7CD2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→ What business decision happened and why?</w:t>
      </w:r>
    </w:p>
    <w:p w14:paraId="067A3B5D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A4425AC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Evaluation Harness</w:t>
      </w:r>
    </w:p>
    <w:p w14:paraId="4365E484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→ Is this version of the system making correct decisions?</w:t>
      </w:r>
    </w:p>
    <w:p w14:paraId="36FC7C29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The telemetry implementation should not assume Azure Monitor forever, even though Azure Monitor/Log Analytics is the current destination.</w:t>
      </w:r>
    </w:p>
    <w:p w14:paraId="0F34136E" w14:textId="77777777" w:rsidR="00030FC1" w:rsidRPr="00030FC1" w:rsidRDefault="00030FC1" w:rsidP="00030F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F5B7B4" wp14:editId="1E9569BB">
                <wp:extent cx="5731510" cy="1270"/>
                <wp:effectExtent l="0" t="31750" r="0" b="36830"/>
                <wp:docPr id="188511845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CC78DA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BDA10F7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Human Review Interaction Contract</w:t>
      </w:r>
    </w:p>
    <w:p w14:paraId="57C9C1CD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b/>
          <w:bCs/>
          <w:kern w:val="0"/>
          <w14:ligatures w14:val="none"/>
        </w:rPr>
        <w:t xml:space="preserve">Priority: Medium — design the backend contract for reuse; do not </w:t>
      </w:r>
      <w:proofErr w:type="spellStart"/>
      <w:r w:rsidRPr="00030FC1">
        <w:rPr>
          <w:rFonts w:ascii="Times New Roman" w:hAnsi="Times New Roman" w:cs="Times New Roman"/>
          <w:b/>
          <w:bCs/>
          <w:kern w:val="0"/>
          <w14:ligatures w14:val="none"/>
        </w:rPr>
        <w:t>over-generalize</w:t>
      </w:r>
      <w:proofErr w:type="spellEnd"/>
      <w:r w:rsidRPr="00030FC1">
        <w:rPr>
          <w:rFonts w:ascii="Times New Roman" w:hAnsi="Times New Roman" w:cs="Times New Roman"/>
          <w:b/>
          <w:bCs/>
          <w:kern w:val="0"/>
          <w14:ligatures w14:val="none"/>
        </w:rPr>
        <w:t xml:space="preserve"> the UI yet</w:t>
      </w:r>
    </w:p>
    <w:p w14:paraId="721CA8CA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The backend representation of a human review task should be generic.</w:t>
      </w:r>
    </w:p>
    <w:p w14:paraId="50844CFC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review item should expose</w:t>
      </w:r>
    </w:p>
    <w:p w14:paraId="7E8A4645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source record</w:t>
      </w:r>
    </w:p>
    <w:p w14:paraId="19B6C665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candidate target records</w:t>
      </w:r>
    </w:p>
    <w:p w14:paraId="13E5D7CD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evidence</w:t>
      </w:r>
    </w:p>
    <w:p w14:paraId="73949568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differences</w:t>
      </w:r>
    </w:p>
    <w:p w14:paraId="2634B0FE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system recommendation</w:t>
      </w:r>
    </w:p>
    <w:p w14:paraId="4E76BDA4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reason codes</w:t>
      </w:r>
    </w:p>
    <w:p w14:paraId="3C560D5A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AI explanation where applicable</w:t>
      </w:r>
    </w:p>
    <w:p w14:paraId="4C4B0831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prior decisions</w:t>
      </w:r>
    </w:p>
    <w:p w14:paraId="7586191D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required action</w:t>
      </w:r>
    </w:p>
    <w:p w14:paraId="347E5B28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Standard review actions</w:t>
      </w:r>
    </w:p>
    <w:p w14:paraId="6E7BDD7A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At minimum:</w:t>
      </w:r>
    </w:p>
    <w:p w14:paraId="20EC8A42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Approve suggested match</w:t>
      </w:r>
    </w:p>
    <w:p w14:paraId="2D80BFE6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Select another candidate</w:t>
      </w:r>
    </w:p>
    <w:p w14:paraId="3F4E9DB1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Reject match</w:t>
      </w:r>
    </w:p>
    <w:p w14:paraId="46045F8D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Mark unresolved</w:t>
      </w:r>
    </w:p>
    <w:p w14:paraId="30D26C4E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Escalate</w:t>
      </w:r>
    </w:p>
    <w:p w14:paraId="1391BC23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Every human action should write to the audit ledger.</w:t>
      </w:r>
    </w:p>
    <w:p w14:paraId="58EB4F59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 guidance</w:t>
      </w:r>
    </w:p>
    <w:p w14:paraId="564FF1DB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Do not spend significant time creating a metadata-driven universal reconciliation UI yet.</w:t>
      </w:r>
    </w:p>
    <w:p w14:paraId="53FE474F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The Vive screens can remain Vive-specific.</w:t>
      </w:r>
    </w:p>
    <w:p w14:paraId="5D0278FD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lastRenderedPageBreak/>
        <w:t>However, the backend review model/API should avoid assumptions that the thing being reviewed is always a vendor invoice.</w:t>
      </w:r>
    </w:p>
    <w:p w14:paraId="42E87334" w14:textId="77777777" w:rsidR="00030FC1" w:rsidRPr="00030FC1" w:rsidRDefault="00030FC1" w:rsidP="00030F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05EFA4" wp14:editId="2FC75613">
                <wp:extent cx="5731510" cy="1270"/>
                <wp:effectExtent l="0" t="31750" r="0" b="36830"/>
                <wp:docPr id="103876314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BD4F9C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985DF1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Should Remain Vive / AP Specific</w:t>
      </w:r>
    </w:p>
    <w:p w14:paraId="7258CE66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 xml:space="preserve">The following should </w:t>
      </w:r>
      <w:r w:rsidRPr="00030FC1">
        <w:rPr>
          <w:rFonts w:ascii="Times New Roman" w:hAnsi="Times New Roman" w:cs="Times New Roman"/>
          <w:b/>
          <w:bCs/>
          <w:kern w:val="0"/>
          <w14:ligatures w14:val="none"/>
        </w:rPr>
        <w:t>not</w:t>
      </w:r>
      <w:r w:rsidRPr="00030FC1">
        <w:rPr>
          <w:rFonts w:ascii="Times New Roman" w:hAnsi="Times New Roman" w:cs="Times New Roman"/>
          <w:kern w:val="0"/>
          <w14:ligatures w14:val="none"/>
        </w:rPr>
        <w:t xml:space="preserve"> be </w:t>
      </w:r>
      <w:proofErr w:type="spellStart"/>
      <w:r w:rsidRPr="00030FC1">
        <w:rPr>
          <w:rFonts w:ascii="Times New Roman" w:hAnsi="Times New Roman" w:cs="Times New Roman"/>
          <w:kern w:val="0"/>
          <w14:ligatures w14:val="none"/>
        </w:rPr>
        <w:t>generalized</w:t>
      </w:r>
      <w:proofErr w:type="spellEnd"/>
      <w:r w:rsidRPr="00030FC1">
        <w:rPr>
          <w:rFonts w:ascii="Times New Roman" w:hAnsi="Times New Roman" w:cs="Times New Roman"/>
          <w:kern w:val="0"/>
          <w14:ligatures w14:val="none"/>
        </w:rPr>
        <w:t xml:space="preserve"> as part of this effort.</w:t>
      </w:r>
    </w:p>
    <w:p w14:paraId="53F315D1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Keep these behind adapters, configuration, or Vive-specific modules:</w:t>
      </w:r>
    </w:p>
    <w:p w14:paraId="2F98C905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Source-system adapters</w:t>
      </w:r>
    </w:p>
    <w:p w14:paraId="13649358" w14:textId="77777777" w:rsidR="00030FC1" w:rsidRPr="00030FC1" w:rsidRDefault="00030FC1" w:rsidP="00030F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NetSuite integration</w:t>
      </w:r>
    </w:p>
    <w:p w14:paraId="1475583C" w14:textId="77777777" w:rsidR="00030FC1" w:rsidRPr="00030FC1" w:rsidRDefault="00030FC1" w:rsidP="00030F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CCC ONE integration</w:t>
      </w:r>
    </w:p>
    <w:p w14:paraId="74C6B149" w14:textId="77777777" w:rsidR="00030FC1" w:rsidRPr="00030FC1" w:rsidRDefault="00030FC1" w:rsidP="00030F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30FC1">
        <w:rPr>
          <w:rFonts w:ascii="Times New Roman" w:eastAsia="Times New Roman" w:hAnsi="Times New Roman" w:cs="Times New Roman"/>
          <w:kern w:val="0"/>
          <w14:ligatures w14:val="none"/>
        </w:rPr>
        <w:t>Celigo-specific</w:t>
      </w:r>
      <w:proofErr w:type="spellEnd"/>
      <w:r w:rsidRPr="00030FC1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</w:t>
      </w:r>
    </w:p>
    <w:p w14:paraId="058C4644" w14:textId="77777777" w:rsidR="00030FC1" w:rsidRPr="00030FC1" w:rsidRDefault="00030FC1" w:rsidP="00030F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Vive authentication/configuration</w:t>
      </w:r>
    </w:p>
    <w:p w14:paraId="71706535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 business rules</w:t>
      </w:r>
    </w:p>
    <w:p w14:paraId="7FE79F88" w14:textId="77777777" w:rsidR="00030FC1" w:rsidRPr="00030FC1" w:rsidRDefault="00030FC1" w:rsidP="00030F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Invoice-number semantics</w:t>
      </w:r>
    </w:p>
    <w:p w14:paraId="73E01937" w14:textId="77777777" w:rsidR="00030FC1" w:rsidRPr="00030FC1" w:rsidRDefault="00030FC1" w:rsidP="00030F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RO-number semantics</w:t>
      </w:r>
    </w:p>
    <w:p w14:paraId="77345A13" w14:textId="77777777" w:rsidR="00030FC1" w:rsidRPr="00030FC1" w:rsidRDefault="00030FC1" w:rsidP="00030F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Credit handling</w:t>
      </w:r>
    </w:p>
    <w:p w14:paraId="2E7077ED" w14:textId="77777777" w:rsidR="00030FC1" w:rsidRPr="00030FC1" w:rsidRDefault="00030FC1" w:rsidP="00030F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Partial payments</w:t>
      </w:r>
    </w:p>
    <w:p w14:paraId="2BB57DAA" w14:textId="77777777" w:rsidR="00030FC1" w:rsidRPr="00030FC1" w:rsidRDefault="00030FC1" w:rsidP="00030F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 xml:space="preserve">Vendor-specific matching </w:t>
      </w:r>
      <w:proofErr w:type="spellStart"/>
      <w:r w:rsidRPr="00030FC1">
        <w:rPr>
          <w:rFonts w:ascii="Times New Roman" w:eastAsia="Times New Roman" w:hAnsi="Times New Roman" w:cs="Times New Roman"/>
          <w:kern w:val="0"/>
          <w14:ligatures w14:val="none"/>
        </w:rPr>
        <w:t>behavior</w:t>
      </w:r>
      <w:proofErr w:type="spellEnd"/>
    </w:p>
    <w:p w14:paraId="6CA2AFEE" w14:textId="77777777" w:rsidR="00030FC1" w:rsidRPr="00030FC1" w:rsidRDefault="00030FC1" w:rsidP="00030F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AP aging/accounting logic</w:t>
      </w:r>
    </w:p>
    <w:p w14:paraId="3844411C" w14:textId="77777777" w:rsidR="00030FC1" w:rsidRPr="00030FC1" w:rsidRDefault="00030FC1" w:rsidP="00030F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Materiality thresholds</w:t>
      </w:r>
    </w:p>
    <w:p w14:paraId="2D82AE8F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 extraction</w:t>
      </w:r>
    </w:p>
    <w:p w14:paraId="096F6032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 xml:space="preserve">The extraction </w:t>
      </w:r>
      <w:r w:rsidRPr="00030FC1">
        <w:rPr>
          <w:rFonts w:ascii="Times New Roman" w:hAnsi="Times New Roman" w:cs="Times New Roman"/>
          <w:b/>
          <w:bCs/>
          <w:kern w:val="0"/>
          <w14:ligatures w14:val="none"/>
        </w:rPr>
        <w:t>interface</w:t>
      </w:r>
      <w:r w:rsidRPr="00030FC1">
        <w:rPr>
          <w:rFonts w:ascii="Times New Roman" w:hAnsi="Times New Roman" w:cs="Times New Roman"/>
          <w:kern w:val="0"/>
          <w14:ligatures w14:val="none"/>
        </w:rPr>
        <w:t xml:space="preserve"> can be standard, but the extraction implementation can remain domain-specific.</w:t>
      </w:r>
    </w:p>
    <w:p w14:paraId="10CA1324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For Vive:</w:t>
      </w:r>
    </w:p>
    <w:p w14:paraId="334D0FAA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PDF</w:t>
      </w:r>
    </w:p>
    <w:p w14:paraId="2E5EC074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→ LLM extraction</w:t>
      </w:r>
    </w:p>
    <w:p w14:paraId="0409F7DD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→ Vive/AP canonical statement schema</w:t>
      </w:r>
    </w:p>
    <w:p w14:paraId="0D7684F9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We do not need to invent a universal extraction schema for bank statements, insurance remittances, settlement files, etc.</w:t>
      </w:r>
    </w:p>
    <w:p w14:paraId="16D7F3F7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Client workflow</w:t>
      </w:r>
    </w:p>
    <w:p w14:paraId="75B70459" w14:textId="77777777" w:rsidR="00030FC1" w:rsidRPr="00030FC1" w:rsidRDefault="00030FC1" w:rsidP="00030F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Vive approval policies</w:t>
      </w:r>
    </w:p>
    <w:p w14:paraId="092EBE53" w14:textId="77777777" w:rsidR="00030FC1" w:rsidRPr="00030FC1" w:rsidRDefault="00030FC1" w:rsidP="00030F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Vive roles</w:t>
      </w:r>
    </w:p>
    <w:p w14:paraId="61483085" w14:textId="77777777" w:rsidR="00030FC1" w:rsidRPr="00030FC1" w:rsidRDefault="00030FC1" w:rsidP="00030F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Vive-specific notifications</w:t>
      </w:r>
    </w:p>
    <w:p w14:paraId="297A4B44" w14:textId="77777777" w:rsidR="00030FC1" w:rsidRPr="00030FC1" w:rsidRDefault="00030FC1" w:rsidP="00030F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Vive terminology</w:t>
      </w:r>
    </w:p>
    <w:p w14:paraId="53A62739" w14:textId="77777777" w:rsidR="00030FC1" w:rsidRPr="00030FC1" w:rsidRDefault="00030FC1" w:rsidP="00030F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Vive-specific dashboards</w:t>
      </w:r>
    </w:p>
    <w:p w14:paraId="283BA667" w14:textId="77777777" w:rsidR="00030FC1" w:rsidRPr="00030FC1" w:rsidRDefault="00030FC1" w:rsidP="00030FC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D3DD52C" wp14:editId="1827AA4A">
                <wp:extent cx="5731510" cy="1270"/>
                <wp:effectExtent l="0" t="31750" r="0" b="36830"/>
                <wp:docPr id="168140977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E92A9E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36B7817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Required Architecture Boundary</w:t>
      </w:r>
    </w:p>
    <w:p w14:paraId="1CEAC673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The implementation should broadly allow:</w:t>
      </w:r>
    </w:p>
    <w:p w14:paraId="75CBF72D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REUSABLE COMPONENTS</w:t>
      </w:r>
    </w:p>
    <w:p w14:paraId="2CD66B8A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8E86014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Reconciliation Run Manager</w:t>
      </w:r>
    </w:p>
    <w:p w14:paraId="45BABC07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│</w:t>
      </w:r>
    </w:p>
    <w:p w14:paraId="27CC2D70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Source/Data Registry</w:t>
      </w:r>
    </w:p>
    <w:p w14:paraId="5EF7F3CF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│</w:t>
      </w:r>
    </w:p>
    <w:p w14:paraId="69512908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Reconciliation Pipeline</w:t>
      </w:r>
    </w:p>
    <w:p w14:paraId="69A01A21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│</w:t>
      </w:r>
    </w:p>
    <w:p w14:paraId="3E17585A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Decision/Audit Ledger</w:t>
      </w:r>
    </w:p>
    <w:p w14:paraId="20A551E9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│</w:t>
      </w:r>
    </w:p>
    <w:p w14:paraId="014409A0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Human Review API</w:t>
      </w:r>
    </w:p>
    <w:p w14:paraId="2A31F886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│</w:t>
      </w:r>
    </w:p>
    <w:p w14:paraId="5A17E566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Evaluation Harness</w:t>
      </w:r>
    </w:p>
    <w:p w14:paraId="61C872A6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│</w:t>
      </w:r>
    </w:p>
    <w:p w14:paraId="61E344D0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Observability Standards</w:t>
      </w:r>
    </w:p>
    <w:p w14:paraId="66D3B8BA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3629740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▲</w:t>
      </w:r>
    </w:p>
    <w:p w14:paraId="585170BA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│</w:t>
      </w:r>
    </w:p>
    <w:p w14:paraId="475E80C9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F7F8A78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DOMAIN ADAPTERS</w:t>
      </w:r>
    </w:p>
    <w:p w14:paraId="2AEFE334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FEC11EA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Vive/AP reconciliation logic</w:t>
      </w:r>
    </w:p>
    <w:p w14:paraId="2E78178C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NetSuite / CCC ONE adapters</w:t>
      </w:r>
    </w:p>
    <w:p w14:paraId="502C3205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Vive statement extraction</w:t>
      </w:r>
    </w:p>
    <w:p w14:paraId="4A87D3B1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Vendor-specific </w:t>
      </w:r>
      <w:proofErr w:type="spellStart"/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>behavior</w:t>
      </w:r>
      <w:proofErr w:type="spellEnd"/>
    </w:p>
    <w:p w14:paraId="57D0FA07" w14:textId="77777777" w:rsidR="00030FC1" w:rsidRPr="00030FC1" w:rsidRDefault="00030FC1" w:rsidP="0003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30FC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Vive approval policies</w:t>
      </w:r>
    </w:p>
    <w:p w14:paraId="0714B863" w14:textId="77777777" w:rsidR="00030FC1" w:rsidRPr="00030FC1" w:rsidRDefault="00030FC1" w:rsidP="00030F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BCA04A" wp14:editId="135E14B2">
                <wp:extent cx="5731510" cy="1270"/>
                <wp:effectExtent l="0" t="31750" r="0" b="36830"/>
                <wp:docPr id="126389124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2CE51E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0F25946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Engineering Principle</w:t>
      </w:r>
    </w:p>
    <w:p w14:paraId="2C57ABD2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When implementing a capability, ask:</w:t>
      </w:r>
    </w:p>
    <w:p w14:paraId="3A676584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 xml:space="preserve">Is this </w:t>
      </w:r>
      <w:proofErr w:type="spellStart"/>
      <w:r w:rsidRPr="00030FC1">
        <w:rPr>
          <w:rFonts w:ascii="Times New Roman" w:hAnsi="Times New Roman" w:cs="Times New Roman"/>
          <w:kern w:val="0"/>
          <w14:ligatures w14:val="none"/>
        </w:rPr>
        <w:t>behavior</w:t>
      </w:r>
      <w:proofErr w:type="spellEnd"/>
      <w:r w:rsidRPr="00030FC1">
        <w:rPr>
          <w:rFonts w:ascii="Times New Roman" w:hAnsi="Times New Roman" w:cs="Times New Roman"/>
          <w:kern w:val="0"/>
          <w14:ligatures w14:val="none"/>
        </w:rPr>
        <w:t xml:space="preserve"> inherently specific to Vive/AP, or is it a generic reconciliation capability being used by Vive/AP?</w:t>
      </w:r>
    </w:p>
    <w:p w14:paraId="2BAE44B5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If it is generic and the abstraction is obvious, place it behind a clean reusable interface.</w:t>
      </w:r>
    </w:p>
    <w:p w14:paraId="578E9FBB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 xml:space="preserve">If the abstraction is unclear, </w:t>
      </w:r>
      <w:r w:rsidRPr="00030FC1">
        <w:rPr>
          <w:rFonts w:ascii="Times New Roman" w:hAnsi="Times New Roman" w:cs="Times New Roman"/>
          <w:b/>
          <w:bCs/>
          <w:kern w:val="0"/>
          <w14:ligatures w14:val="none"/>
        </w:rPr>
        <w:t xml:space="preserve">implement it for Vive and do not </w:t>
      </w:r>
      <w:proofErr w:type="spellStart"/>
      <w:r w:rsidRPr="00030FC1">
        <w:rPr>
          <w:rFonts w:ascii="Times New Roman" w:hAnsi="Times New Roman" w:cs="Times New Roman"/>
          <w:b/>
          <w:bCs/>
          <w:kern w:val="0"/>
          <w14:ligatures w14:val="none"/>
        </w:rPr>
        <w:t>generalize</w:t>
      </w:r>
      <w:proofErr w:type="spellEnd"/>
      <w:r w:rsidRPr="00030FC1">
        <w:rPr>
          <w:rFonts w:ascii="Times New Roman" w:hAnsi="Times New Roman" w:cs="Times New Roman"/>
          <w:b/>
          <w:bCs/>
          <w:kern w:val="0"/>
          <w14:ligatures w14:val="none"/>
        </w:rPr>
        <w:t xml:space="preserve"> prematurely</w:t>
      </w:r>
      <w:r w:rsidRPr="00030FC1">
        <w:rPr>
          <w:rFonts w:ascii="Times New Roman" w:hAnsi="Times New Roman" w:cs="Times New Roman"/>
          <w:kern w:val="0"/>
          <w14:ligatures w14:val="none"/>
        </w:rPr>
        <w:t>.</w:t>
      </w:r>
    </w:p>
    <w:p w14:paraId="1592A9D2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The objective is to make the second reconciliation implementation materially faster, not to turn the Vive project into a platform-development project.</w:t>
      </w:r>
    </w:p>
    <w:p w14:paraId="36898B72" w14:textId="77777777" w:rsidR="00030FC1" w:rsidRPr="00030FC1" w:rsidRDefault="00030FC1" w:rsidP="00030F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4CB407" wp14:editId="68A32F55">
                <wp:extent cx="5731510" cy="1270"/>
                <wp:effectExtent l="0" t="31750" r="0" b="36830"/>
                <wp:docPr id="159437333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2EB2D4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B76A0E" w14:textId="77777777" w:rsidR="00030FC1" w:rsidRPr="00030FC1" w:rsidRDefault="00030FC1" w:rsidP="00030FC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0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Definition of Success</w:t>
      </w:r>
    </w:p>
    <w:p w14:paraId="786C8C86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lastRenderedPageBreak/>
        <w:t>After Vive is delivered, we should be able to start another reconciliation use case and reuse, with little or no modification:</w:t>
      </w:r>
    </w:p>
    <w:p w14:paraId="7757F107" w14:textId="77777777" w:rsidR="00030FC1" w:rsidRPr="00030FC1" w:rsidRDefault="00030FC1" w:rsidP="00030F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Reconciliation Run Manager</w:t>
      </w:r>
    </w:p>
    <w:p w14:paraId="03C69F98" w14:textId="77777777" w:rsidR="00030FC1" w:rsidRPr="00030FC1" w:rsidRDefault="00030FC1" w:rsidP="00030F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Document/Data Registry</w:t>
      </w:r>
    </w:p>
    <w:p w14:paraId="75E53C0B" w14:textId="77777777" w:rsidR="00030FC1" w:rsidRPr="00030FC1" w:rsidRDefault="00030FC1" w:rsidP="00030F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Reconciliation Pipeline framework</w:t>
      </w:r>
    </w:p>
    <w:p w14:paraId="763D6A2E" w14:textId="77777777" w:rsidR="00030FC1" w:rsidRPr="00030FC1" w:rsidRDefault="00030FC1" w:rsidP="00030F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Decision/Audit Ledger</w:t>
      </w:r>
    </w:p>
    <w:p w14:paraId="2D1F4E0A" w14:textId="77777777" w:rsidR="00030FC1" w:rsidRPr="00030FC1" w:rsidRDefault="00030FC1" w:rsidP="00030F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Evaluation Harness</w:t>
      </w:r>
    </w:p>
    <w:p w14:paraId="25019BB1" w14:textId="77777777" w:rsidR="00030FC1" w:rsidRPr="00030FC1" w:rsidRDefault="00030FC1" w:rsidP="00030F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Observability/correlation package</w:t>
      </w:r>
    </w:p>
    <w:p w14:paraId="49BEA8C5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The new implementation should primarily require:</w:t>
      </w:r>
    </w:p>
    <w:p w14:paraId="325D74BE" w14:textId="77777777" w:rsidR="00030FC1" w:rsidRPr="00030FC1" w:rsidRDefault="00030FC1" w:rsidP="00030F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new source/target adapters;</w:t>
      </w:r>
    </w:p>
    <w:p w14:paraId="46547B6F" w14:textId="77777777" w:rsidR="00030FC1" w:rsidRPr="00030FC1" w:rsidRDefault="00030FC1" w:rsidP="00030F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new canonical/domain data models;</w:t>
      </w:r>
    </w:p>
    <w:p w14:paraId="32102612" w14:textId="77777777" w:rsidR="00030FC1" w:rsidRPr="00030FC1" w:rsidRDefault="00030FC1" w:rsidP="00030F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new extraction logic where applicable;</w:t>
      </w:r>
    </w:p>
    <w:p w14:paraId="309144BA" w14:textId="77777777" w:rsidR="00030FC1" w:rsidRPr="00030FC1" w:rsidRDefault="00030FC1" w:rsidP="00030F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new candidate-generation rules;</w:t>
      </w:r>
    </w:p>
    <w:p w14:paraId="50065249" w14:textId="77777777" w:rsidR="00030FC1" w:rsidRPr="00030FC1" w:rsidRDefault="00030FC1" w:rsidP="00030F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new matching rules;</w:t>
      </w:r>
    </w:p>
    <w:p w14:paraId="1D8F95A2" w14:textId="77777777" w:rsidR="00030FC1" w:rsidRPr="00030FC1" w:rsidRDefault="00030FC1" w:rsidP="00030F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new AI context/prompts;</w:t>
      </w:r>
    </w:p>
    <w:p w14:paraId="286C3CE6" w14:textId="77777777" w:rsidR="00030FC1" w:rsidRPr="00030FC1" w:rsidRDefault="00030FC1" w:rsidP="00030F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new business decision policies;</w:t>
      </w:r>
    </w:p>
    <w:p w14:paraId="5B68FD40" w14:textId="77777777" w:rsidR="00030FC1" w:rsidRPr="00030FC1" w:rsidRDefault="00030FC1" w:rsidP="00030F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FC1">
        <w:rPr>
          <w:rFonts w:ascii="Times New Roman" w:eastAsia="Times New Roman" w:hAnsi="Times New Roman" w:cs="Times New Roman"/>
          <w:kern w:val="0"/>
          <w14:ligatures w14:val="none"/>
        </w:rPr>
        <w:t>domain-specific UI terminology.</w:t>
      </w:r>
    </w:p>
    <w:p w14:paraId="65C854D8" w14:textId="77777777" w:rsidR="00030FC1" w:rsidRPr="00030FC1" w:rsidRDefault="00030FC1" w:rsidP="00030F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30FC1">
        <w:rPr>
          <w:rFonts w:ascii="Times New Roman" w:hAnsi="Times New Roman" w:cs="Times New Roman"/>
          <w:kern w:val="0"/>
          <w14:ligatures w14:val="none"/>
        </w:rPr>
        <w:t>If we can achieve this without increasing the Vive delivery timeline materially, we will have created useful reusable IP rather than a one-off reconciliation application.</w:t>
      </w:r>
    </w:p>
    <w:p w14:paraId="0E5D9FC6" w14:textId="77777777" w:rsidR="00030FC1" w:rsidRDefault="00030FC1"/>
    <w:sectPr w:rsidR="00030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920B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35C7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05C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B4C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C16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16A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C59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25C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B6B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ED2F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170B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773949">
    <w:abstractNumId w:val="4"/>
  </w:num>
  <w:num w:numId="2" w16cid:durableId="1795441475">
    <w:abstractNumId w:val="0"/>
  </w:num>
  <w:num w:numId="3" w16cid:durableId="1229654749">
    <w:abstractNumId w:val="2"/>
  </w:num>
  <w:num w:numId="4" w16cid:durableId="1674255936">
    <w:abstractNumId w:val="9"/>
  </w:num>
  <w:num w:numId="5" w16cid:durableId="1841046622">
    <w:abstractNumId w:val="6"/>
  </w:num>
  <w:num w:numId="6" w16cid:durableId="1532838163">
    <w:abstractNumId w:val="10"/>
  </w:num>
  <w:num w:numId="7" w16cid:durableId="1233081188">
    <w:abstractNumId w:val="3"/>
  </w:num>
  <w:num w:numId="8" w16cid:durableId="1053044226">
    <w:abstractNumId w:val="8"/>
  </w:num>
  <w:num w:numId="9" w16cid:durableId="1887986711">
    <w:abstractNumId w:val="5"/>
  </w:num>
  <w:num w:numId="10" w16cid:durableId="515004586">
    <w:abstractNumId w:val="1"/>
  </w:num>
  <w:num w:numId="11" w16cid:durableId="1732650462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FC1"/>
    <w:rsid w:val="00030FC1"/>
    <w:rsid w:val="00E03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0394D7"/>
  <w15:chartTrackingRefBased/>
  <w15:docId w15:val="{0E86986D-EECD-354B-82EC-8C69CB988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0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FC1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030FC1"/>
  </w:style>
  <w:style w:type="paragraph" w:customStyle="1" w:styleId="p3">
    <w:name w:val="p3"/>
    <w:basedOn w:val="Normal"/>
    <w:rsid w:val="00030FC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030FC1"/>
  </w:style>
  <w:style w:type="paragraph" w:customStyle="1" w:styleId="p4">
    <w:name w:val="p4"/>
    <w:basedOn w:val="Normal"/>
    <w:rsid w:val="00030FC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030FC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030FC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030FC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0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0FC1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30FC1"/>
    <w:rPr>
      <w:rFonts w:ascii="Courier New" w:eastAsiaTheme="minorEastAsia" w:hAnsi="Courier New" w:cs="Courier New"/>
      <w:sz w:val="20"/>
      <w:szCs w:val="20"/>
    </w:rPr>
  </w:style>
  <w:style w:type="paragraph" w:customStyle="1" w:styleId="p8">
    <w:name w:val="p8"/>
    <w:basedOn w:val="Normal"/>
    <w:rsid w:val="00030FC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9">
    <w:name w:val="p9"/>
    <w:basedOn w:val="Normal"/>
    <w:rsid w:val="00030FC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1842</Words>
  <Characters>10505</Characters>
  <Application>Microsoft Office Word</Application>
  <DocSecurity>0</DocSecurity>
  <Lines>87</Lines>
  <Paragraphs>24</Paragraphs>
  <ScaleCrop>false</ScaleCrop>
  <Company/>
  <LinksUpToDate>false</LinksUpToDate>
  <CharactersWithSpaces>12323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Gainedi</dc:creator>
  <cp:keywords/>
  <dc:description/>
  <cp:lastModifiedBy>Naveen Gainedi</cp:lastModifiedBy>
  <cp:revision>2</cp:revision>
  <dcterms:created xsi:type="dcterms:W3CDTF">2026-08-14T09:19:00Z</dcterms:created>
  <dcterms:modified xsi:type="dcterms:W3CDTF">2026-08-14T09:19:00Z</dcterms:modified>
</cp:coreProperties>
</file>