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2D40"/>
          <w:sz w:val="44"/>
          <w:szCs w:val="44"/>
        </w:rPr>
        <w:t xml:space="preserve">VIVE Reconciliation — Architecture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Updated Jul 27, 2026 — reflects all completed phases plus Steps 1-11 of Final Plan</w:t>
      </w:r>
    </w:p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1. What This System Is</w:t>
      </w:r>
    </w:p>
    <w:p>
      <w:pPr>
        <w:spacing w:after="120"/>
      </w:pPr>
      <w:r>
        <w:rPr>
          <w:sz w:val="21"/>
          <w:szCs w:val="21"/>
        </w:rPr>
        <w:t xml:space="preserve">VIVE Reconciliation is a Python-based AI-powered accounts payable automation tool built for VIVE Collision, a multi-shop auto body repair company (~79 shops, Northeast US). It extracts invoice data from vendor PDF statements, compares against ERP records, and surfaces discrepancies for AP team review. It does not approve, reject, or execute payments.</w:t>
      </w:r>
    </w:p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2. System Shape</w:t>
      </w:r>
    </w:p>
    <w:p>
      <w:pPr>
        <w:pStyle w:val="Heading2"/>
        <w:spacing w:after="120" w:before="280"/>
      </w:pPr>
      <w:r>
        <w:rPr>
          <w:b/>
          <w:bCs/>
          <w:color w:val="1E2D40"/>
          <w:sz w:val="26"/>
          <w:szCs w:val="26"/>
        </w:rPr>
        <w:t xml:space="preserve">2.1 Layers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40"/>
      </w:tblGrid>
      <w:tr>
        <w:trPr>
          <w:tblHeader/>
        </w:trPr>
        <w:tc>
          <w:tcPr>
            <w:tcW w:type="dxa" w:w="20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844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lives here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Serving</w:t>
            </w:r>
          </w:p>
        </w:tc>
        <w:tc>
          <w:tcPr>
            <w:tcW w:type="dxa" w:w="84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Jinja2 web app. 10 routers: auth, dashboard, exceptions, jobs, reports, review_queue, upload, users, batches, intake_trigger. Server-rendered, no SPA.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  <w:tc>
          <w:tcPr>
            <w:tcW w:type="dxa" w:w="84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4.6 primary extraction + pdfplumber/OCR fallback, matching engine, mock ERP generator, invoice normalization, 3-worker background job pool.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84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connection.py (SQLite vs Azure SQL selection), migration runners (SQLite + Azure SQL with ALTER TABLE support), AI client factory, audit logger, concurrency limiter.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E2D40"/>
          <w:sz w:val="26"/>
          <w:szCs w:val="26"/>
        </w:rPr>
        <w:t xml:space="preserve">2.2 Data Model — Bronze/Silver/Gold</w:t>
      </w:r>
    </w:p>
    <w:p>
      <w:pPr>
        <w:spacing w:after="120"/>
      </w:pPr>
      <w:r>
        <w:rPr>
          <w:sz w:val="21"/>
          <w:szCs w:val="21"/>
        </w:rPr>
        <w:t xml:space="preserve">Bronze (raw AI output) → Silver (silver_reconciliation_standard — canonical entity layer, shared schema for both vendor-statement and ERP sides, distinguished by record_source) → Gold (gold_matched_invoices, gold_exceptions, gold_reconciliation_summary — derived outcomes).</w:t>
      </w:r>
    </w:p>
    <w:p>
      <w:pPr>
        <w:pStyle w:val="Heading2"/>
        <w:spacing w:after="120" w:before="280"/>
      </w:pPr>
      <w:r>
        <w:rPr>
          <w:b/>
          <w:bCs/>
          <w:color w:val="1E2D40"/>
          <w:sz w:val="26"/>
          <w:szCs w:val="26"/>
        </w:rPr>
        <w:t xml:space="preserve">2.3 Backend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SQLite for local/dev/test; Azure SQL for production — selected automatically by AZURE_SQL_SERVER env var.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connection.py is the single place that knows which backend is active.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Schema changes through numbered migration files only. Azure SQL migration runner supports ALTER TABLE column additions.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Dashboard KPI cards live-query gold_exceptions — never trust the stale gold_reconciliation_summary snapshot.</w:t>
      </w:r>
    </w:p>
    <w:p>
      <w:pPr>
        <w:pStyle w:val="Heading2"/>
        <w:spacing w:after="120" w:before="280"/>
      </w:pPr>
      <w:r>
        <w:rPr>
          <w:b/>
          <w:bCs/>
          <w:color w:val="1E2D40"/>
          <w:sz w:val="26"/>
          <w:szCs w:val="26"/>
        </w:rPr>
        <w:t xml:space="preserve">2.4 Extraction Chain</w:t>
      </w:r>
    </w:p>
    <w:p>
      <w:pPr>
        <w:spacing w:after="120"/>
      </w:pPr>
      <w:r>
        <w:rPr>
          <w:sz w:val="21"/>
          <w:szCs w:val="21"/>
        </w:rPr>
        <w:t xml:space="preserve">Current active chain: Claude Sonnet 4.6 (Azure AI Foundry) → pdfplumber + OCR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6140"/>
      </w:tblGrid>
      <w:tr>
        <w:trPr>
          <w:tblHeader/>
        </w:trPr>
        <w:tc>
          <w:tcPr>
            <w:tcW w:type="dxa" w:w="7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Era</w:t>
            </w:r>
          </w:p>
        </w:tc>
        <w:tc>
          <w:tcPr>
            <w:tcW w:type="dxa" w:w="36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614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 for switch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6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 gpt-5-mini</w:t>
            </w:r>
          </w:p>
        </w:tc>
        <w:tc>
          <w:tcPr>
            <w:tcW w:type="dxa" w:w="6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consolidation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Document Intelligence prebuilt-layout</w:t>
            </w:r>
          </w:p>
        </w:tc>
        <w:tc>
          <w:tcPr>
            <w:tcW w:type="dxa" w:w="6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Speed (14s vs 90-180s)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(current)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4.6 (Azure AI Foundry)</w:t>
            </w:r>
          </w:p>
        </w:tc>
        <w:tc>
          <w:tcPr>
            <w:tcW w:type="dxa" w:w="6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Column-mapping quality on multi-invoice-column vendors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Six providers remain registered; one active at a time via config/ai/active_provider.json. Whole-document streaming call. Column mapping is universal — no per-vendor config. Claude Haiku 4.5 used only for the optional --explain narrative step (explanation_service.py), independent of provider_chain.</w:t>
      </w:r>
    </w:p>
    <w:p>
      <w:pPr>
        <w:pStyle w:val="Heading2"/>
        <w:spacing w:after="120" w:before="280"/>
      </w:pPr>
      <w:r>
        <w:rPr>
          <w:b/>
          <w:bCs/>
          <w:color w:val="1E2D40"/>
          <w:sz w:val="26"/>
          <w:szCs w:val="26"/>
        </w:rPr>
        <w:t xml:space="preserve">2.5 Matching Engine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2-level deterministic hierarchy: Level 1 (exact invoice number), Level 2 (RO number + amount). Zero AI involvement — hard invariant.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match_confidence score (0.0–1.0) computed deterministically by match type on every matched invoice and exception.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0"/>
        <w:gridCol w:w="4820"/>
      </w:tblGrid>
      <w:tr>
        <w:trPr>
          <w:tblHeader/>
        </w:trPr>
        <w:tc>
          <w:tcPr>
            <w:tcW w:type="dxa" w:w="562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Match type</w:t>
            </w:r>
          </w:p>
        </w:tc>
        <w:tc>
          <w:tcPr>
            <w:tcW w:type="dxa" w:w="482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 invoice + exact amount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 invoice + within tolerance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 invoice + mismatch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 number + exact amount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 number + exact amount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 number + within tolerance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Fuzzy/fallback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exception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AMOUNT_MISMATCH exception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5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EXTRACTION_INCOMPLETE exception</w:t>
            </w:r>
          </w:p>
        </w:tc>
        <w:tc>
          <w:tcPr>
            <w:tcW w:type="dxa" w:w="4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E2D40"/>
          <w:sz w:val="26"/>
          <w:szCs w:val="26"/>
        </w:rPr>
        <w:t xml:space="preserve">2.6 Worker Pool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3 concurrent worker threads (VIVE_WORKER_POOL_SIZE env var, default 3).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Atomic job claiming: UPDATE ... WHERE NOT EXISTS guard — no race conditions.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At most 2 concurrent Claude Sonnet calls (VIVE_MAX_CONCURRENT_AI_CALLS, default 2, enforced via src/ai/concurrency_limiter.py). Cache hits bypass limit.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INV-05: at most one job per pdf_filename in PROCESSING at a time. Different filenames can process concurrently.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Graceful shutdown on SIGTERM/Ctrl+C — workers finish current job before exiting.</w:t>
      </w:r>
    </w:p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3. Web Application — Routes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rPr>
          <w:tblHeader/>
        </w:trPr>
        <w:tc>
          <w:tcPr>
            <w:tcW w:type="dxa" w:w="28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764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dashboard — 4 KPI cards, active jobs, recent batches, reconciliation runs table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 /upload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PDFs — each becomes a job in the queue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/exceptions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cards with live exception counts, oldest-open aging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/exceptions/{vendor}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 detail — Accept / Dispute / Write off / Escalate. Bulk approve for ≥0.99 confidence.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/exceptions/{vendor}/bulk-approve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all open exceptions at or above confidence threshold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/review-queue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cards for validation_document_review_queue rows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/review-queue/{vendor}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Per-row: Approve or Flag as exception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/batches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batches grouped by batch_id (auto-intake) or date (manual)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/batches/{batch_id}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Per-file detail within a batch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/reports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reconciliation runs with links to reports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/users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/api/intake-trigger</w:t>
            </w:r>
          </w:p>
        </w:tc>
        <w:tc>
          <w:tcPr>
            <w:tcW w:type="dxa" w:w="76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Grid webhook — validation handshake + BlobCreated auto-intake</w:t>
            </w:r>
          </w:p>
        </w:tc>
      </w:tr>
    </w:tbl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4. Database Tables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rPr>
          <w:tblHeader/>
        </w:trPr>
        <w:tc>
          <w:tcPr>
            <w:tcW w:type="dxa" w:w="32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24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extraction_cache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SHA-256 hash → row count. Prevents re-running AI on same file.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document_intake_log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row per PDF — vendor, period, extraction method, row counts.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bronze_vendor_statement_raw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extracted rows exactly as extracted.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bronze_internal_erp_raw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ERP invoice rows (currently Mock ERP; future: NetSuite).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silver_reconciliation_standard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Normalized rows — vendor and ERP in one schema, record_source distinguishes them.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gold_matched_invoices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Matched invoice pairs with match_confidence score.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gold_exceptions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+ AMOUNT_MISMATCH + EXTRACTION_INCOMPLETE + DUPLICATE_RECORD. Includes match_confidence, shop_owner, days_open (computed), escalation fields.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gold_reconciliation_summary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per run. Dashboard KPIs live-query gold_exceptions instead.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exception_dispositions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 actioned which exception, how, and when.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validation_document_review_queue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Rows flagged during extraction: MISSING_MANDATORY_FIELD or DUPLICATE_RECORD.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queue — PENDING → PROCESSING → COMPLETED/FAILED. Includes batch_id, claim_token.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bcrypt-hashed password, active status.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ai_audit_log</w:t>
            </w:r>
          </w:p>
        </w:tc>
        <w:tc>
          <w:tcPr>
            <w:tcW w:type="dxa" w:w="72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AI call — provider, model, latency, success/fail.</w:t>
            </w:r>
          </w:p>
        </w:tc>
      </w:tr>
    </w:tbl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5. Auto-Intake (Partial)</w:t>
      </w:r>
    </w:p>
    <w:p>
      <w:pPr>
        <w:pStyle w:val="Heading3"/>
        <w:spacing w:after="80" w:before="180"/>
      </w:pPr>
      <w:r>
        <w:rPr>
          <w:b/>
          <w:bCs/>
          <w:color w:val="1E2D40"/>
          <w:sz w:val="22"/>
          <w:szCs w:val="22"/>
        </w:rPr>
        <w:t xml:space="preserve">Built: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viverecondropzone storage account (West US 2, LRS) + incoming-statements container.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/api/intake-trigger webhook — validation handshake, BlobCreated download + job creation with batch_id.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batch_id column on jobs table (migration 007).</w:t>
      </w:r>
    </w:p>
    <w:p>
      <w:pPr>
        <w:pStyle w:val="Heading3"/>
        <w:spacing w:after="80" w:before="180"/>
      </w:pPr>
      <w:r>
        <w:rPr>
          <w:b/>
          <w:bCs/>
          <w:color w:val="1E2D40"/>
          <w:sz w:val="22"/>
          <w:szCs w:val="22"/>
        </w:rPr>
        <w:t xml:space="preserve">Blocked: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Event Grid System Topic — Azure RBAC permissions. Reported to Ashrith.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App Service deployment — subscription quota. Same blocker.</w:t>
      </w:r>
    </w:p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6. What Is Deliberately Not Built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Live NetSuite integration — out of scope until VIVE provides API credentials.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Per-vendor column mapping — universal mapping is deliberate.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AI inside matching — always 100% deterministic, always.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Full role-based permissions — flat model is intentional.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Email alerts (Step 9) — provider not decided.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Fault isolation per file (Step 6) — not yet built.</w:t>
      </w:r>
    </w:p>
    <w:p>
      <w:pPr>
        <w:spacing w:after="200"/>
      </w:pP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VIVE Collision Vendor Statement Reconciliation — internal engineering reference, updated Jul 27,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2026-07-27T11:02:57.135Z</dcterms:created>
  <dcterms:modified xsi:type="dcterms:W3CDTF">2026-07-27T11:02:57.148Z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