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2D40"/>
          <w:sz w:val="44"/>
          <w:szCs w:val="44"/>
        </w:rPr>
        <w:t xml:space="preserve">VIVE Improvement Plan — Simple Summary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Updated Jul 27, 2026 — All phases complete. Steps 1-11 mostly complete.</w:t>
      </w: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Priority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100"/>
        <w:gridCol w:w="1000"/>
        <w:gridCol w:w="800"/>
      </w:tblGrid>
      <w:tr>
        <w:trPr>
          <w:tblHeader/>
        </w:trPr>
        <w:tc>
          <w:tcPr>
            <w:tcW w:type="dxa" w:w="20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 (simple)</w:t>
            </w:r>
          </w:p>
        </w:tc>
        <w:tc>
          <w:tcPr>
            <w:tcW w:type="dxa" w:w="11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8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Docker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Packages the whole project so it runs the same on any computer.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Rules doc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Writes down every 'don't undo this' decision so nobody breaks something on purpose.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Disposition model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Remembers past decisions on exceptions so the same issue is not reviewed every month.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Real shared database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 the single local file so several people can use it at once.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Job queue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Uploads don't block each other — one person's upload processes in the background.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Per-user logins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person gets their own login. The disposition record shows who resolved what.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⏳ Shared hosting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dashboard needs to run somewhere everyone can reach. Blocked on App Service quota.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Blocked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Object storage (Blob)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a permanent copy of every original PDF in the cloud.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Migration tooling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a clear record of every database change.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Reviewer dashboard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complete web app — upload a PDF and it runs the pipeline, shows results, resolves exceptions.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EXTRACTION_INCOMPLETE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 missing invoice ID or amount are skipped cleanly and flagged for manual review.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Parallel workers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 workers process PDFs concurrently instead of one at a time.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Match confidence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match gets a score for how certain the system is that the match is correct.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Routing + aging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exception tagged with shop owner and how many days it has been open.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Bulk approve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 reviewer can approve all high-confidence matches in one click instead of one at a time.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Batch summary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all batches with file count, completion status, and duration.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✓ Review queue UI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 reviewer can Approve or Flag validation_document_review_queue rows in the web app.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⏳ Blob drop zone + Event Grid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PDFs into a shared folder and they process automatically. Storage built; Event Grid blocked on Azure RBAC.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Partial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⏳ Email alerts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Excel/email alerts per shop owner after each batch. Provider not decided.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Deferred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⏳ Fault isolation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corrupt file in a batch should not affect others.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Not built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⏳ Settings page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functionality yet. Build when VIVE specifies needs.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B7791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AI Model Decision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Claude Sonnet 4.6 (Azure AI Foundry) — primary extraction engine for all vendor PDF formats, including scanned.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Claude Haiku 4.5 (Azure AI Foundry) — optional --explain narrative step only. Low volume, decoupled from extraction chain.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pdfplumber + Tesseract OCR — deterministic fallback if Claude is unavailable. Free, no AI dependency.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Azure OpenAI, Gemini, Mistral, Azure Document Intelligence — registered but dormant. Not in active chain.</w:t>
      </w:r>
    </w:p>
    <w:p>
      <w:pPr>
        <w:spacing w:after="100"/>
      </w:pP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Biggest Remaining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  <w:gridCol w:w="1840"/>
      </w:tblGrid>
      <w:tr>
        <w:trPr>
          <w:tblHeader/>
        </w:trPr>
        <w:tc>
          <w:tcPr>
            <w:tcW w:type="dxa" w:w="26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60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4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NetSuite integration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Currently matching against Mock ERP. Real value only when compared against real NetSuite posted bills. Needs VIVE API credentials.</w:t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0352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Service deployment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runs on dev laptop at localhost:8000 only. Deployment files ready. Blocked on Ashrith quota.</w:t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Grid System Topic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Blob drop zone built; auto-intake trigger blocked on Azure RBAC permissions.</w:t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alerts (Step 9)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provider not decided: SendGrid vs Azure Communication Services vs SMTP.</w:t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Fault isolation (Step 6)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failed file in a batch could affect others. Not yet built.</w:t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E2D40" w:sz="6"/>
        </w:pBdr>
        <w:spacing w:after="160" w:before="400"/>
      </w:pPr>
      <w:r>
        <w:rPr>
          <w:b/>
          <w:bCs/>
          <w:color w:val="1E2D40"/>
          <w:sz w:val="34"/>
          <w:szCs w:val="34"/>
        </w:rPr>
        <w:t xml:space="preserve">Cost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40"/>
      </w:tblGrid>
      <w:tr>
        <w:trPr>
          <w:tblHeader/>
        </w:trPr>
        <w:tc>
          <w:tcPr>
            <w:tcW w:type="dxa" w:w="500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440"/>
            <w:shd w:fill="1E2D4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SQL (serverless free tier)</w:t>
            </w:r>
          </w:p>
        </w:tc>
        <w:tc>
          <w:tcPr>
            <w:tcW w:type="dxa" w:w="5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$0/month within 100,000 vCore-second free limit</w:t>
            </w:r>
          </w:p>
        </w:tc>
      </w:tr>
      <w:tr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Blob Storage (both accounts)</w:t>
            </w:r>
          </w:p>
        </w:tc>
        <w:tc>
          <w:tcPr>
            <w:tcW w:type="dxa" w:w="5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few cents/month</w:t>
            </w:r>
          </w:p>
        </w:tc>
      </w:tr>
      <w:tr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App Service (Free F1 tier)</w:t>
            </w:r>
          </w:p>
        </w:tc>
        <w:tc>
          <w:tcPr>
            <w:tcW w:type="dxa" w:w="5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$0/month — pending quota approval</w:t>
            </w:r>
          </w:p>
        </w:tc>
      </w:tr>
      <w:tr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4.6 extraction</w:t>
            </w:r>
          </w:p>
        </w:tc>
        <w:tc>
          <w:tcPr>
            <w:tcW w:type="dxa" w:w="5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Approx $0.50–$1.00 per PDF processed</w:t>
            </w:r>
          </w:p>
        </w:tc>
      </w:tr>
      <w:tr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new recurring cost</w:t>
            </w:r>
          </w:p>
        </w:tc>
        <w:tc>
          <w:tcPr>
            <w:tcW w:type="dxa" w:w="54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 $1–5/month at current usage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VIVE Collision Vendor Statement Reconciliation — internal engineering reference, updated Jul 27,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2026-07-27T11:02:57.423Z</dcterms:created>
  <dcterms:modified xsi:type="dcterms:W3CDTF">2026-07-27T11:02:57.423Z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