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2D40"/>
          <w:sz w:val="44"/>
          <w:szCs w:val="44"/>
        </w:rPr>
        <w:t xml:space="preserve">VIVE Reconciliation — Scope Document</w:t>
      </w:r>
    </w:p>
    <w:p>
      <w:pPr>
        <w:spacing w:after="400"/>
        <w:jc w:val="center"/>
      </w:pPr>
      <w:r>
        <w:rPr>
          <w:i/>
          <w:iCs/>
          <w:color w:val="555555"/>
          <w:sz w:val="20"/>
          <w:szCs w:val="20"/>
        </w:rPr>
        <w:t xml:space="preserve">Updated Jul 27, 2026 — what is built, what is out of scope, where the real gaps are</w:t>
      </w:r>
    </w:p>
    <w:p>
      <w:pPr>
        <w:pStyle w:val="Heading1"/>
        <w:pBdr>
          <w:bottom w:val="single" w:color="1E2D40" w:sz="6"/>
        </w:pBdr>
        <w:spacing w:after="160" w:before="400"/>
      </w:pPr>
      <w:r>
        <w:rPr>
          <w:b/>
          <w:bCs/>
          <w:color w:val="1E2D40"/>
          <w:sz w:val="34"/>
          <w:szCs w:val="34"/>
        </w:rPr>
        <w:t xml:space="preserve">1. Purpose</w:t>
      </w:r>
    </w:p>
    <w:p>
      <w:pPr>
        <w:spacing w:after="120"/>
      </w:pPr>
      <w:r>
        <w:rPr>
          <w:sz w:val="21"/>
          <w:szCs w:val="21"/>
        </w:rPr>
        <w:t xml:space="preserve">VIVE Reconciliation automates monthly vendor statement reconciliation for VIVE Collision. It reads vendor PDF statements, compares against ERP records, and reduces manual cross-checking to a short exception review — instead of an AP team member reading every line by hand.</w:t>
      </w:r>
    </w:p>
    <w:p>
      <w:pPr>
        <w:pStyle w:val="Heading1"/>
        <w:pBdr>
          <w:bottom w:val="single" w:color="1E2D40" w:sz="6"/>
        </w:pBdr>
        <w:spacing w:after="160" w:before="400"/>
      </w:pPr>
      <w:r>
        <w:rPr>
          <w:b/>
          <w:bCs/>
          <w:color w:val="1E2D40"/>
          <w:sz w:val="34"/>
          <w:szCs w:val="34"/>
        </w:rPr>
        <w:t xml:space="preserve">2. In Scope — What the System Does</w:t>
      </w:r>
    </w:p>
    <w:p>
      <w:pPr>
        <w:pStyle w:val="Heading3"/>
        <w:spacing w:after="80" w:before="180"/>
      </w:pPr>
      <w:r>
        <w:rPr>
          <w:b/>
          <w:bCs/>
          <w:color w:val="1E2D40"/>
          <w:sz w:val="22"/>
          <w:szCs w:val="22"/>
        </w:rPr>
        <w:t xml:space="preserve">Document intake</w:t>
      </w:r>
    </w:p>
    <w:p>
      <w:pPr>
        <w:pStyle w:val="ListParagraph"/>
        <w:numPr>
          <w:ilvl w:val="0"/>
          <w:numId w:val="1"/>
        </w:numPr>
        <w:spacing w:after="70"/>
      </w:pPr>
      <w:r>
        <w:rPr>
          <w:sz w:val="21"/>
          <w:szCs w:val="21"/>
        </w:rPr>
        <w:t xml:space="preserve">Accepts vendor PDF statements of any format through a web upload interface, or (in future) via a Blob Storage drop zone.</w:t>
      </w:r>
    </w:p>
    <w:p>
      <w:pPr>
        <w:pStyle w:val="ListParagraph"/>
        <w:numPr>
          <w:ilvl w:val="0"/>
          <w:numId w:val="1"/>
        </w:numPr>
        <w:spacing w:after="70"/>
      </w:pPr>
      <w:r>
        <w:rPr>
          <w:sz w:val="21"/>
          <w:szCs w:val="21"/>
        </w:rPr>
        <w:t xml:space="preserve">Claude Sonnet 4.6 reads the document directly, including scanned pages, with no manual OCR step.</w:t>
      </w:r>
    </w:p>
    <w:p>
      <w:pPr>
        <w:pStyle w:val="ListParagraph"/>
        <w:numPr>
          <w:ilvl w:val="0"/>
          <w:numId w:val="1"/>
        </w:numPr>
        <w:spacing w:after="70"/>
      </w:pPr>
      <w:r>
        <w:rPr>
          <w:sz w:val="21"/>
          <w:szCs w:val="21"/>
        </w:rPr>
        <w:t xml:space="preserve">pdfplumber + OCR as automatic fallback if Claude is unavailable.</w:t>
      </w:r>
    </w:p>
    <w:p>
      <w:pPr>
        <w:pStyle w:val="ListParagraph"/>
        <w:numPr>
          <w:ilvl w:val="0"/>
          <w:numId w:val="1"/>
        </w:numPr>
        <w:spacing w:after="70"/>
      </w:pPr>
      <w:r>
        <w:rPr>
          <w:sz w:val="21"/>
          <w:szCs w:val="21"/>
        </w:rPr>
        <w:t xml:space="preserve">Extraction caching: identical files never re-run AI extraction.</w:t>
      </w:r>
    </w:p>
    <w:p>
      <w:pPr>
        <w:pStyle w:val="Heading3"/>
        <w:spacing w:after="80" w:before="180"/>
      </w:pPr>
      <w:r>
        <w:rPr>
          <w:b/>
          <w:bCs/>
          <w:color w:val="1E2D40"/>
          <w:sz w:val="22"/>
          <w:szCs w:val="22"/>
        </w:rPr>
        <w:t xml:space="preserve">Matching &amp; exceptions</w:t>
      </w:r>
    </w:p>
    <w:p>
      <w:pPr>
        <w:pStyle w:val="ListParagraph"/>
        <w:numPr>
          <w:ilvl w:val="0"/>
          <w:numId w:val="1"/>
        </w:numPr>
        <w:spacing w:after="70"/>
      </w:pPr>
      <w:r>
        <w:rPr>
          <w:sz w:val="21"/>
          <w:szCs w:val="21"/>
        </w:rPr>
        <w:t xml:space="preserve">Extracted invoices compared by invoice number, PO number, RO number, amount within tolerance.</w:t>
      </w:r>
    </w:p>
    <w:p>
      <w:pPr>
        <w:pStyle w:val="ListParagraph"/>
        <w:numPr>
          <w:ilvl w:val="0"/>
          <w:numId w:val="1"/>
        </w:numPr>
        <w:spacing w:after="70"/>
      </w:pPr>
      <w:r>
        <w:rPr>
          <w:sz w:val="21"/>
          <w:szCs w:val="21"/>
        </w:rPr>
        <w:t xml:space="preserve">Four exception types: MISSING, AMOUNT_MISMATCH, EXTRACTION_INCOMPLETE, DUPLICATE_RECORD.</w:t>
      </w:r>
    </w:p>
    <w:p>
      <w:pPr>
        <w:pStyle w:val="ListParagraph"/>
        <w:numPr>
          <w:ilvl w:val="0"/>
          <w:numId w:val="1"/>
        </w:numPr>
        <w:spacing w:after="70"/>
      </w:pPr>
      <w:r>
        <w:rPr>
          <w:sz w:val="21"/>
          <w:szCs w:val="21"/>
        </w:rPr>
        <w:t xml:space="preserve">Every match and exception carries a match_confidence score.</w:t>
      </w:r>
    </w:p>
    <w:p>
      <w:pPr>
        <w:pStyle w:val="ListParagraph"/>
        <w:numPr>
          <w:ilvl w:val="0"/>
          <w:numId w:val="1"/>
        </w:numPr>
        <w:spacing w:after="70"/>
      </w:pPr>
      <w:r>
        <w:rPr>
          <w:sz w:val="21"/>
          <w:szCs w:val="21"/>
        </w:rPr>
        <w:t xml:space="preserve">AP reviewer actions each exception: Accept, Dispute, Write off. Escalate flags for senior attention.</w:t>
      </w:r>
    </w:p>
    <w:p>
      <w:pPr>
        <w:pStyle w:val="ListParagraph"/>
        <w:numPr>
          <w:ilvl w:val="0"/>
          <w:numId w:val="1"/>
        </w:numPr>
        <w:spacing w:after="70"/>
      </w:pPr>
      <w:r>
        <w:rPr>
          <w:sz w:val="21"/>
          <w:szCs w:val="21"/>
        </w:rPr>
        <w:t xml:space="preserve">Bulk approve clears all ≥0.99 confidence exceptions in one click.</w:t>
      </w:r>
    </w:p>
    <w:p>
      <w:pPr>
        <w:pStyle w:val="Heading3"/>
        <w:spacing w:after="80" w:before="180"/>
      </w:pPr>
      <w:r>
        <w:rPr>
          <w:b/>
          <w:bCs/>
          <w:color w:val="1E2D40"/>
          <w:sz w:val="22"/>
          <w:szCs w:val="22"/>
        </w:rPr>
        <w:t xml:space="preserve">Application &amp; access</w:t>
      </w:r>
    </w:p>
    <w:p>
      <w:pPr>
        <w:pStyle w:val="ListParagraph"/>
        <w:numPr>
          <w:ilvl w:val="0"/>
          <w:numId w:val="1"/>
        </w:numPr>
        <w:spacing w:after="70"/>
      </w:pPr>
      <w:r>
        <w:rPr>
          <w:sz w:val="21"/>
          <w:szCs w:val="21"/>
        </w:rPr>
        <w:t xml:space="preserve">Web application with per-user logins, home dashboard, exceptions review, review queue, batches, reports, user management.</w:t>
      </w:r>
    </w:p>
    <w:p>
      <w:pPr>
        <w:pStyle w:val="ListParagraph"/>
        <w:numPr>
          <w:ilvl w:val="0"/>
          <w:numId w:val="1"/>
        </w:numPr>
        <w:spacing w:after="70"/>
      </w:pPr>
      <w:r>
        <w:rPr>
          <w:sz w:val="21"/>
          <w:szCs w:val="21"/>
        </w:rPr>
        <w:t xml:space="preserve">3-worker background job pool processes uploads concurrently, non-blocking.</w:t>
      </w:r>
    </w:p>
    <w:p>
      <w:pPr>
        <w:pStyle w:val="ListParagraph"/>
        <w:numPr>
          <w:ilvl w:val="0"/>
          <w:numId w:val="1"/>
        </w:numPr>
        <w:spacing w:after="70"/>
      </w:pPr>
      <w:r>
        <w:rPr>
          <w:sz w:val="21"/>
          <w:szCs w:val="21"/>
        </w:rPr>
        <w:t xml:space="preserve">Azure SQL shared database for concurrent multi-user access.</w:t>
      </w:r>
    </w:p>
    <w:p>
      <w:pPr>
        <w:pStyle w:val="ListParagraph"/>
        <w:numPr>
          <w:ilvl w:val="0"/>
          <w:numId w:val="1"/>
        </w:numPr>
        <w:spacing w:after="70"/>
      </w:pPr>
      <w:r>
        <w:rPr>
          <w:sz w:val="21"/>
          <w:szCs w:val="21"/>
        </w:rPr>
        <w:t xml:space="preserve">Azure Blob Storage archives every original PDF.</w:t>
      </w:r>
    </w:p>
    <w:p>
      <w:pPr>
        <w:pStyle w:val="Heading3"/>
        <w:spacing w:after="80" w:before="180"/>
      </w:pPr>
      <w:r>
        <w:rPr>
          <w:b/>
          <w:bCs/>
          <w:color w:val="1E2D40"/>
          <w:sz w:val="22"/>
          <w:szCs w:val="22"/>
        </w:rPr>
        <w:t xml:space="preserve">Routing &amp; aging</w:t>
      </w:r>
    </w:p>
    <w:p>
      <w:pPr>
        <w:pStyle w:val="ListParagraph"/>
        <w:numPr>
          <w:ilvl w:val="0"/>
          <w:numId w:val="1"/>
        </w:numPr>
        <w:spacing w:after="70"/>
      </w:pPr>
      <w:r>
        <w:rPr>
          <w:sz w:val="21"/>
          <w:szCs w:val="21"/>
        </w:rPr>
        <w:t xml:space="preserve">shop_owner assigned per exception from config/shop_owners.json.</w:t>
      </w:r>
    </w:p>
    <w:p>
      <w:pPr>
        <w:pStyle w:val="ListParagraph"/>
        <w:numPr>
          <w:ilvl w:val="0"/>
          <w:numId w:val="1"/>
        </w:numPr>
        <w:spacing w:after="70"/>
      </w:pPr>
      <w:r>
        <w:rPr>
          <w:sz w:val="21"/>
          <w:szCs w:val="21"/>
        </w:rPr>
        <w:t xml:space="preserve">days_open computed column auto-updates daily.</w:t>
      </w:r>
    </w:p>
    <w:p>
      <w:pPr>
        <w:pStyle w:val="ListParagraph"/>
        <w:numPr>
          <w:ilvl w:val="0"/>
          <w:numId w:val="1"/>
        </w:numPr>
        <w:spacing w:after="70"/>
      </w:pPr>
      <w:r>
        <w:rPr>
          <w:sz w:val="21"/>
          <w:szCs w:val="21"/>
        </w:rPr>
        <w:t xml:space="preserve">Color-coded aging (grey &lt;7 days, amber 7-14, red &gt;14).</w:t>
      </w:r>
    </w:p>
    <w:p>
      <w:pPr>
        <w:pStyle w:val="Heading1"/>
        <w:pBdr>
          <w:bottom w:val="single" w:color="1E2D40" w:sz="6"/>
        </w:pBdr>
        <w:spacing w:after="160" w:before="400"/>
      </w:pPr>
      <w:r>
        <w:rPr>
          <w:b/>
          <w:bCs/>
          <w:color w:val="1E2D40"/>
          <w:sz w:val="34"/>
          <w:szCs w:val="34"/>
        </w:rPr>
        <w:t xml:space="preserve">3. Out of Scope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shd w:fill="1E2D40" w:val="clear"/>
            <w:tcMar>
              <w:top w:type="dxa" w:w="70"/>
              <w:left w:type="dxa" w:w="90"/>
              <w:bottom w:type="dxa" w:w="70"/>
              <w:right w:type="dxa" w:w="90"/>
            </w:tcMar>
          </w:tcPr>
          <w:p>
            <w:r>
              <w:rPr>
                <w:b/>
                <w:bCs/>
                <w:color w:val="FFFFFF"/>
                <w:sz w:val="19"/>
                <w:szCs w:val="19"/>
              </w:rPr>
              <w:t xml:space="preserve">Item</w:t>
            </w:r>
          </w:p>
        </w:tc>
        <w:tc>
          <w:tcPr>
            <w:tcW w:type="dxa" w:w="7440"/>
            <w:shd w:fill="1E2D40" w:val="clear"/>
            <w:tcMar>
              <w:top w:type="dxa" w:w="70"/>
              <w:left w:type="dxa" w:w="90"/>
              <w:bottom w:type="dxa" w:w="70"/>
              <w:right w:type="dxa" w:w="90"/>
            </w:tcMar>
          </w:tcPr>
          <w:p>
            <w:r>
              <w:rPr>
                <w:b/>
                <w:bCs/>
                <w:color w:val="FFFFFF"/>
                <w:sz w:val="19"/>
                <w:szCs w:val="19"/>
              </w:rPr>
              <w:t xml:space="preserve">Why excluded</w:t>
            </w:r>
          </w:p>
        </w:tc>
      </w:tr>
      <w:tr>
        <w:tc>
          <w:tcPr>
            <w:tcW w:type="dxa" w:w="3000"/>
            <w:tcMar>
              <w:top w:type="dxa" w:w="70"/>
              <w:left w:type="dxa" w:w="90"/>
              <w:bottom w:type="dxa" w:w="70"/>
              <w:right w:type="dxa" w:w="90"/>
            </w:tcMar>
          </w:tcPr>
          <w:p>
            <w:r>
              <w:rPr>
                <w:b w:val="false"/>
                <w:bCs w:val="false"/>
                <w:sz w:val="20"/>
                <w:szCs w:val="20"/>
              </w:rPr>
              <w:t xml:space="preserve">Live NetSuite integration</w:t>
            </w:r>
          </w:p>
        </w:tc>
        <w:tc>
          <w:tcPr>
            <w:tcW w:type="dxa" w:w="7440"/>
            <w:tcMar>
              <w:top w:type="dxa" w:w="70"/>
              <w:left w:type="dxa" w:w="90"/>
              <w:bottom w:type="dxa" w:w="70"/>
              <w:right w:type="dxa" w:w="90"/>
            </w:tcMar>
          </w:tcPr>
          <w:p>
            <w:r>
              <w:rPr>
                <w:b w:val="false"/>
                <w:bCs w:val="false"/>
                <w:sz w:val="20"/>
                <w:szCs w:val="20"/>
              </w:rPr>
              <w:t xml:space="preserve">Currently matches Mock ERP. Requires VIVE to provide NetSuite API credentials. Separate future project.</w:t>
            </w:r>
          </w:p>
        </w:tc>
      </w:tr>
      <w:tr>
        <w:tc>
          <w:tcPr>
            <w:tcW w:type="dxa" w:w="3000"/>
            <w:tcMar>
              <w:top w:type="dxa" w:w="70"/>
              <w:left w:type="dxa" w:w="90"/>
              <w:bottom w:type="dxa" w:w="70"/>
              <w:right w:type="dxa" w:w="90"/>
            </w:tcMar>
          </w:tcPr>
          <w:p>
            <w:r>
              <w:rPr>
                <w:b w:val="false"/>
                <w:bCs w:val="false"/>
                <w:sz w:val="20"/>
                <w:szCs w:val="20"/>
              </w:rPr>
              <w:t xml:space="preserve">Automatic email/mailbox intake</w:t>
            </w:r>
          </w:p>
        </w:tc>
        <w:tc>
          <w:tcPr>
            <w:tcW w:type="dxa" w:w="7440"/>
            <w:tcMar>
              <w:top w:type="dxa" w:w="70"/>
              <w:left w:type="dxa" w:w="90"/>
              <w:bottom w:type="dxa" w:w="70"/>
              <w:right w:type="dxa" w:w="90"/>
            </w:tcMar>
          </w:tcPr>
          <w:p>
            <w:r>
              <w:rPr>
                <w:b w:val="false"/>
                <w:bCs w:val="false"/>
                <w:sz w:val="20"/>
                <w:szCs w:val="20"/>
              </w:rPr>
              <w:t xml:space="preserve">PDFs uploaded manually today. Auto-ingesting emailed statements is a future enhancement.</w:t>
            </w:r>
          </w:p>
        </w:tc>
      </w:tr>
      <w:tr>
        <w:tc>
          <w:tcPr>
            <w:tcW w:type="dxa" w:w="3000"/>
            <w:tcMar>
              <w:top w:type="dxa" w:w="70"/>
              <w:left w:type="dxa" w:w="90"/>
              <w:bottom w:type="dxa" w:w="70"/>
              <w:right w:type="dxa" w:w="90"/>
            </w:tcMar>
          </w:tcPr>
          <w:p>
            <w:r>
              <w:rPr>
                <w:b w:val="false"/>
                <w:bCs w:val="false"/>
                <w:sz w:val="20"/>
                <w:szCs w:val="20"/>
              </w:rPr>
              <w:t xml:space="preserve">Full role-based permissions</w:t>
            </w:r>
          </w:p>
        </w:tc>
        <w:tc>
          <w:tcPr>
            <w:tcW w:type="dxa" w:w="7440"/>
            <w:tcMar>
              <w:top w:type="dxa" w:w="70"/>
              <w:left w:type="dxa" w:w="90"/>
              <w:bottom w:type="dxa" w:w="70"/>
              <w:right w:type="dxa" w:w="90"/>
            </w:tcMar>
          </w:tcPr>
          <w:p>
            <w:r>
              <w:rPr>
                <w:b w:val="false"/>
                <w:bCs w:val="false"/>
                <w:sz w:val="20"/>
                <w:szCs w:val="20"/>
              </w:rPr>
              <w:t xml:space="preserve">All current users do the same reviewer role. Per-user logins track who did what.</w:t>
            </w:r>
          </w:p>
        </w:tc>
      </w:tr>
      <w:tr>
        <w:tc>
          <w:tcPr>
            <w:tcW w:type="dxa" w:w="3000"/>
            <w:tcMar>
              <w:top w:type="dxa" w:w="70"/>
              <w:left w:type="dxa" w:w="90"/>
              <w:bottom w:type="dxa" w:w="70"/>
              <w:right w:type="dxa" w:w="90"/>
            </w:tcMar>
          </w:tcPr>
          <w:p>
            <w:r>
              <w:rPr>
                <w:b w:val="false"/>
                <w:bCs w:val="false"/>
                <w:sz w:val="20"/>
                <w:szCs w:val="20"/>
              </w:rPr>
              <w:t xml:space="preserve">AI inside matching</w:t>
            </w:r>
          </w:p>
        </w:tc>
        <w:tc>
          <w:tcPr>
            <w:tcW w:type="dxa" w:w="7440"/>
            <w:tcMar>
              <w:top w:type="dxa" w:w="70"/>
              <w:left w:type="dxa" w:w="90"/>
              <w:bottom w:type="dxa" w:w="70"/>
              <w:right w:type="dxa" w:w="90"/>
            </w:tcMar>
          </w:tcPr>
          <w:p>
            <w:r>
              <w:rPr>
                <w:b w:val="false"/>
                <w:bCs w:val="false"/>
                <w:sz w:val="20"/>
                <w:szCs w:val="20"/>
              </w:rPr>
              <w:t xml:space="preserve">Matching is always 100% deterministic — hard invariant, never negotiable.</w:t>
            </w:r>
          </w:p>
        </w:tc>
      </w:tr>
      <w:tr>
        <w:tc>
          <w:tcPr>
            <w:tcW w:type="dxa" w:w="3000"/>
            <w:tcMar>
              <w:top w:type="dxa" w:w="70"/>
              <w:left w:type="dxa" w:w="90"/>
              <w:bottom w:type="dxa" w:w="70"/>
              <w:right w:type="dxa" w:w="90"/>
            </w:tcMar>
          </w:tcPr>
          <w:p>
            <w:r>
              <w:rPr>
                <w:b w:val="false"/>
                <w:bCs w:val="false"/>
                <w:sz w:val="20"/>
                <w:szCs w:val="20"/>
              </w:rPr>
              <w:t xml:space="preserve">Per-vendor column mapping</w:t>
            </w:r>
          </w:p>
        </w:tc>
        <w:tc>
          <w:tcPr>
            <w:tcW w:type="dxa" w:w="7440"/>
            <w:tcMar>
              <w:top w:type="dxa" w:w="70"/>
              <w:left w:type="dxa" w:w="90"/>
              <w:bottom w:type="dxa" w:w="70"/>
              <w:right w:type="dxa" w:w="90"/>
            </w:tcMar>
          </w:tcPr>
          <w:p>
            <w:r>
              <w:rPr>
                <w:b w:val="false"/>
                <w:bCs w:val="false"/>
                <w:sz w:val="20"/>
                <w:szCs w:val="20"/>
              </w:rPr>
              <w:t xml:space="preserve">Universal mapping is deliberate. No per-vendor onboarding.</w:t>
            </w:r>
          </w:p>
        </w:tc>
      </w:tr>
      <w:tr>
        <w:tc>
          <w:tcPr>
            <w:tcW w:type="dxa" w:w="3000"/>
            <w:tcMar>
              <w:top w:type="dxa" w:w="70"/>
              <w:left w:type="dxa" w:w="90"/>
              <w:bottom w:type="dxa" w:w="70"/>
              <w:right w:type="dxa" w:w="90"/>
            </w:tcMar>
          </w:tcPr>
          <w:p>
            <w:r>
              <w:rPr>
                <w:b w:val="false"/>
                <w:bCs w:val="false"/>
                <w:sz w:val="20"/>
                <w:szCs w:val="20"/>
              </w:rPr>
              <w:t xml:space="preserve">Production hosting</w:t>
            </w:r>
          </w:p>
        </w:tc>
        <w:tc>
          <w:tcPr>
            <w:tcW w:type="dxa" w:w="7440"/>
            <w:tcMar>
              <w:top w:type="dxa" w:w="70"/>
              <w:left w:type="dxa" w:w="90"/>
              <w:bottom w:type="dxa" w:w="70"/>
              <w:right w:type="dxa" w:w="90"/>
            </w:tcMar>
          </w:tcPr>
          <w:p>
            <w:r>
              <w:rPr>
                <w:b w:val="false"/>
                <w:bCs w:val="false"/>
                <w:sz w:val="20"/>
                <w:szCs w:val="20"/>
              </w:rPr>
              <w:t xml:space="preserve">App runs locally at localhost:8000. App Service deployment blocked on Ashrith quota.</w:t>
            </w:r>
          </w:p>
        </w:tc>
      </w:tr>
      <w:tr>
        <w:tc>
          <w:tcPr>
            <w:tcW w:type="dxa" w:w="3000"/>
            <w:tcMar>
              <w:top w:type="dxa" w:w="70"/>
              <w:left w:type="dxa" w:w="90"/>
              <w:bottom w:type="dxa" w:w="70"/>
              <w:right w:type="dxa" w:w="90"/>
            </w:tcMar>
          </w:tcPr>
          <w:p>
            <w:r>
              <w:rPr>
                <w:b w:val="false"/>
                <w:bCs w:val="false"/>
                <w:sz w:val="20"/>
                <w:szCs w:val="20"/>
              </w:rPr>
              <w:t xml:space="preserve">Email alerts (Step 9)</w:t>
            </w:r>
          </w:p>
        </w:tc>
        <w:tc>
          <w:tcPr>
            <w:tcW w:type="dxa" w:w="7440"/>
            <w:tcMar>
              <w:top w:type="dxa" w:w="70"/>
              <w:left w:type="dxa" w:w="90"/>
              <w:bottom w:type="dxa" w:w="70"/>
              <w:right w:type="dxa" w:w="90"/>
            </w:tcMar>
          </w:tcPr>
          <w:p>
            <w:r>
              <w:rPr>
                <w:b w:val="false"/>
                <w:bCs w:val="false"/>
                <w:sz w:val="20"/>
                <w:szCs w:val="20"/>
              </w:rPr>
              <w:t xml:space="preserve">Not built yet — email provider not decided.</w:t>
            </w:r>
          </w:p>
        </w:tc>
      </w:tr>
      <w:tr>
        <w:tc>
          <w:tcPr>
            <w:tcW w:type="dxa" w:w="3000"/>
            <w:tcMar>
              <w:top w:type="dxa" w:w="70"/>
              <w:left w:type="dxa" w:w="90"/>
              <w:bottom w:type="dxa" w:w="70"/>
              <w:right w:type="dxa" w:w="90"/>
            </w:tcMar>
          </w:tcPr>
          <w:p>
            <w:r>
              <w:rPr>
                <w:b w:val="false"/>
                <w:bCs w:val="false"/>
                <w:sz w:val="20"/>
                <w:szCs w:val="20"/>
              </w:rPr>
              <w:t xml:space="preserve">Fault isolation per file (Step 6)</w:t>
            </w:r>
          </w:p>
        </w:tc>
        <w:tc>
          <w:tcPr>
            <w:tcW w:type="dxa" w:w="7440"/>
            <w:tcMar>
              <w:top w:type="dxa" w:w="70"/>
              <w:left w:type="dxa" w:w="90"/>
              <w:bottom w:type="dxa" w:w="70"/>
              <w:right w:type="dxa" w:w="90"/>
            </w:tcMar>
          </w:tcPr>
          <w:p>
            <w:r>
              <w:rPr>
                <w:b w:val="false"/>
                <w:bCs w:val="false"/>
                <w:sz w:val="20"/>
                <w:szCs w:val="20"/>
              </w:rPr>
              <w:t xml:space="preserve">Not built yet.</w:t>
            </w:r>
          </w:p>
        </w:tc>
      </w:tr>
    </w:tbl>
    <w:p>
      <w:pPr>
        <w:pStyle w:val="Heading1"/>
        <w:pBdr>
          <w:bottom w:val="single" w:color="1E2D40" w:sz="6"/>
        </w:pBdr>
        <w:spacing w:after="160" w:before="400"/>
      </w:pPr>
      <w:r>
        <w:rPr>
          <w:b/>
          <w:bCs/>
          <w:color w:val="1E2D40"/>
          <w:sz w:val="34"/>
          <w:szCs w:val="34"/>
        </w:rPr>
        <w:t xml:space="preserve">4. Current Validated State</w:t>
      </w:r>
    </w:p>
    <w:p>
      <w:pPr>
        <w:spacing w:after="120"/>
      </w:pPr>
      <w:r>
        <w:rPr>
          <w:sz w:val="21"/>
          <w:szCs w:val="21"/>
        </w:rPr>
        <w:t xml:space="preserve">As of Jul 2026, all 4 original phases are complete. The following has been end-to-end tested against real vendor statements and Azure SQL:</w:t>
      </w:r>
    </w:p>
    <w:p>
      <w:pPr>
        <w:pStyle w:val="ListParagraph"/>
        <w:numPr>
          <w:ilvl w:val="0"/>
          <w:numId w:val="1"/>
        </w:numPr>
        <w:spacing w:after="70"/>
      </w:pPr>
      <w:r>
        <w:rPr>
          <w:sz w:val="21"/>
          <w:szCs w:val="21"/>
        </w:rPr>
        <w:t xml:space="preserve">Web upload → job queue → worker → dashboard: confirmed working.</w:t>
      </w:r>
    </w:p>
    <w:p>
      <w:pPr>
        <w:pStyle w:val="ListParagraph"/>
        <w:numPr>
          <w:ilvl w:val="0"/>
          <w:numId w:val="1"/>
        </w:numPr>
        <w:spacing w:after="70"/>
      </w:pPr>
      <w:r>
        <w:rPr>
          <w:sz w:val="21"/>
          <w:szCs w:val="21"/>
        </w:rPr>
        <w:t xml:space="preserve">Cache hit on re-upload of same PDF: confirmed working.</w:t>
      </w:r>
    </w:p>
    <w:p>
      <w:pPr>
        <w:pStyle w:val="ListParagraph"/>
        <w:numPr>
          <w:ilvl w:val="0"/>
          <w:numId w:val="1"/>
        </w:numPr>
        <w:spacing w:after="70"/>
      </w:pPr>
      <w:r>
        <w:rPr>
          <w:sz w:val="21"/>
          <w:szCs w:val="21"/>
        </w:rPr>
        <w:t xml:space="preserve">Exception resolution (Accept/Dispute/Write off): live count updates everywhere confirmed.</w:t>
      </w:r>
    </w:p>
    <w:p>
      <w:pPr>
        <w:pStyle w:val="ListParagraph"/>
        <w:numPr>
          <w:ilvl w:val="0"/>
          <w:numId w:val="1"/>
        </w:numPr>
        <w:spacing w:after="70"/>
      </w:pPr>
      <w:r>
        <w:rPr>
          <w:sz w:val="21"/>
          <w:szCs w:val="21"/>
        </w:rPr>
        <w:t xml:space="preserve">Review queue (Approve/Flag): confirmed both actions write correctly.</w:t>
      </w:r>
    </w:p>
    <w:p>
      <w:pPr>
        <w:pStyle w:val="ListParagraph"/>
        <w:numPr>
          <w:ilvl w:val="0"/>
          <w:numId w:val="1"/>
        </w:numPr>
        <w:spacing w:after="70"/>
      </w:pPr>
      <w:r>
        <w:rPr>
          <w:sz w:val="21"/>
          <w:szCs w:val="21"/>
        </w:rPr>
        <w:t xml:space="preserve">EXTRACTION_INCOMPLETE exceptions: full end-to-end confirmed.</w:t>
      </w:r>
    </w:p>
    <w:p>
      <w:pPr>
        <w:pStyle w:val="ListParagraph"/>
        <w:numPr>
          <w:ilvl w:val="0"/>
          <w:numId w:val="1"/>
        </w:numPr>
        <w:spacing w:after="70"/>
      </w:pPr>
      <w:r>
        <w:rPr>
          <w:sz w:val="21"/>
          <w:szCs w:val="21"/>
        </w:rPr>
        <w:t xml:space="preserve">Parallel workers: 3-thread pool confirmed starting on app startup.</w:t>
      </w:r>
    </w:p>
    <w:p>
      <w:pPr>
        <w:pStyle w:val="ListParagraph"/>
        <w:numPr>
          <w:ilvl w:val="0"/>
          <w:numId w:val="1"/>
        </w:numPr>
        <w:spacing w:after="70"/>
      </w:pPr>
      <w:r>
        <w:rPr>
          <w:sz w:val="21"/>
          <w:szCs w:val="21"/>
        </w:rPr>
        <w:t xml:space="preserve">Batch summary page: confirmed rendering with manual upload history.</w:t>
      </w:r>
    </w:p>
    <w:p>
      <w:pPr>
        <w:pStyle w:val="ListParagraph"/>
        <w:numPr>
          <w:ilvl w:val="0"/>
          <w:numId w:val="1"/>
        </w:numPr>
        <w:spacing w:after="70"/>
      </w:pPr>
      <w:r>
        <w:rPr>
          <w:sz w:val="21"/>
          <w:szCs w:val="21"/>
        </w:rPr>
        <w:t xml:space="preserve">Exception escalation: confirmed updating escalation_status.</w:t>
      </w:r>
    </w:p>
    <w:p>
      <w:pPr>
        <w:spacing w:after="120"/>
      </w:pPr>
      <w:r>
        <w:rPr>
          <w:sz w:val="21"/>
          <w:szCs w:val="21"/>
        </w:rPr>
        <w:t xml:space="preserve">Tekion/VINART PDF has not yet been run through the full pipeline against the live Azure SQL database.</w:t>
      </w:r>
    </w:p>
    <w:p>
      <w:pPr>
        <w:pStyle w:val="Heading1"/>
        <w:pBdr>
          <w:bottom w:val="single" w:color="1E2D40" w:sz="6"/>
        </w:pBdr>
        <w:spacing w:after="160" w:before="400"/>
      </w:pPr>
      <w:r>
        <w:rPr>
          <w:b/>
          <w:bCs/>
          <w:color w:val="1E2D40"/>
          <w:sz w:val="34"/>
          <w:szCs w:val="34"/>
        </w:rPr>
        <w:t xml:space="preserve">5. Biggest Remaining Gap</w:t>
      </w:r>
    </w:p>
    <w:p>
      <w:pPr>
        <w:spacing w:after="120"/>
      </w:pPr>
      <w:r>
        <w:rPr>
          <w:sz w:val="21"/>
          <w:szCs w:val="21"/>
        </w:rPr>
        <w:t xml:space="preserve">NetSuite Integration. Every reconciliation result today is validated against a Mock ERP generated from the vendor's own extracted data. This is provably correct at matching logic but has not been exercised against real, independent ERP data. Real business value is only unlocked once connected to live NetSuite data, where genuine exceptions surface automatically. This requires VIVE to provide NetSuite API credentials.</w:t>
      </w:r>
    </w:p>
    <w:p>
      <w:pPr>
        <w:spacing w:after="200"/>
      </w:pPr>
    </w:p>
    <w:p>
      <w:pPr>
        <w:jc w:val="center"/>
      </w:pPr>
      <w:r>
        <w:rPr>
          <w:i/>
          <w:iCs/>
          <w:color w:val="555555"/>
          <w:sz w:val="18"/>
          <w:szCs w:val="18"/>
        </w:rPr>
        <w:t xml:space="preserve">VIVE Collision Vendor Statement Reconciliation — internal engineering reference, updated Jul 27, 2026</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2026-07-27T11:02:57.541Z</dcterms:created>
  <dcterms:modified xsi:type="dcterms:W3CDTF">2026-07-27T11:02:57.541Z</dcterms:modified>
</cp:coreProperties>
</file>

<file path=docProps/custom.xml><?xml version="1.0" encoding="utf-8"?>
<Properties xmlns="http://schemas.openxmlformats.org/officeDocument/2006/custom-properties" xmlns:vt="http://schemas.openxmlformats.org/officeDocument/2006/docPropsVTypes"/>
</file>