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400" w:after="120"/>
      </w:pPr>
      <w:r>
        <w:rPr>
          <w:rFonts w:ascii="Arial" w:hAnsi="Arial"/>
          <w:b/>
          <w:color w:val="1B2A4A"/>
          <w:sz w:val="36"/>
        </w:rPr>
        <w:t>Variant Intersection Matrix (VIM) Analyzer: Technical Description</w:t>
      </w:r>
    </w:p>
    <w:p>
      <w:pPr>
        <w:spacing w:after="120" w:before="0"/>
      </w:pPr>
      <w:r>
        <w:t xml:space="preserve">The </w:t>
      </w:r>
      <w:r>
        <w:rPr>
          <w:b/>
        </w:rPr>
        <w:t>Variant Intersection Matrix (VIM) Analyzer</w:t>
      </w:r>
      <w:r>
        <w:t xml:space="preserve"> is an open-research software suite designed to identify co-occurrences of conceptual variants in academic literature and map structural research gaps. The application is built in Python, leveraging a Streamlit-based web interface to offer an interactive dashboard for document parsing, variant dictionary customization, interactive heatmap visualization, manual validation, and inter-rater reliability calculations.</w:t>
      </w:r>
    </w:p>
    <w:p>
      <w:pPr>
        <w:spacing w:after="120" w:before="0"/>
      </w:pPr>
      <w: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4470"/>
          <w:sz w:val="28"/>
        </w:rPr>
        <w:t>1. System Architecture &amp; Processing Pipeline</w:t>
      </w:r>
    </w:p>
    <w:p>
      <w:pPr>
        <w:spacing w:after="120" w:before="0"/>
      </w:pPr>
      <w:r>
        <w:t>The software executes a sequential, multi-stage analytical pipeline that transforms raw unstructured research papers and a flat variant dictionary into a structured co-occurrence matrix and research opportunity map.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9050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5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9"/>
        </w:rPr>
        <w:t>System Architecture Flowchart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B82B0"/>
          <w:sz w:val="24"/>
        </w:rPr>
        <w:t>Stage 1: High-Performance Text Extraction &amp; Caching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PDF Parsing</w:t>
      </w:r>
      <w:r>
        <w:t xml:space="preserve">: The system uses </w:t>
      </w:r>
      <w:r>
        <w:rPr>
          <w:rFonts w:ascii="Courier New" w:hAnsi="Courier New"/>
          <w:color w:val="B42828"/>
          <w:sz w:val="19"/>
        </w:rPr>
        <w:t>PyMuPDF</w:t>
      </w:r>
      <w:r>
        <w:t xml:space="preserve"> (</w:t>
      </w:r>
      <w:r>
        <w:rPr>
          <w:rFonts w:ascii="Courier New" w:hAnsi="Courier New"/>
          <w:color w:val="B42828"/>
          <w:sz w:val="19"/>
        </w:rPr>
        <w:t>fitz</w:t>
      </w:r>
      <w:r>
        <w:t>), a high-performance C-based binding, to extract raw text content page-by-page. For multi-threaded processing, this is orders of magnitude faster than pure Python alternatives.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Metadata &amp; Smart Title Extraction</w:t>
      </w:r>
      <w:r>
        <w:t>: To assign human-readable titles to papers rather than cryptic filenames, the system employs a deterministic five-tier fallback pipeline:</w:t>
      </w:r>
    </w:p>
    <w:p>
      <w:pPr>
        <w:spacing w:after="120" w:before="0"/>
      </w:pPr>
      <w:r>
        <w:t xml:space="preserve">1.  </w:t>
      </w:r>
      <w:r>
        <w:rPr>
          <w:i/>
        </w:rPr>
        <w:t>Embedded PDF Metadata</w:t>
      </w:r>
      <w:r>
        <w:t>: Extracts the document title if it is valid and does not contain generic publisher text.</w:t>
      </w:r>
    </w:p>
    <w:p>
      <w:pPr>
        <w:spacing w:after="120" w:before="0"/>
      </w:pPr>
      <w:r>
        <w:t xml:space="preserve">2.  </w:t>
      </w:r>
      <w:r>
        <w:rPr>
          <w:i/>
        </w:rPr>
        <w:t>Font Geometry Analysis</w:t>
      </w:r>
      <w:r>
        <w:t>: Scans the first page blocks, groups lines into text spans, and selects the largest font-size anchor (within the top 12% to 62% page height window) to rebuild multi-line wrapped titles.</w:t>
      </w:r>
    </w:p>
    <w:p>
      <w:pPr>
        <w:spacing w:after="120" w:before="0"/>
      </w:pPr>
      <w:r>
        <w:t xml:space="preserve">3.  </w:t>
      </w:r>
      <w:r>
        <w:rPr>
          <w:i/>
        </w:rPr>
        <w:t>Structural Block Selection</w:t>
      </w:r>
      <w:r>
        <w:t>: Extracts the longest text block among the top five vertical blocks, filtering out section headings (e.g., "Abstract", "Introduction").</w:t>
      </w:r>
    </w:p>
    <w:p>
      <w:pPr>
        <w:spacing w:after="120" w:before="0"/>
      </w:pPr>
      <w:r>
        <w:t xml:space="preserve">4.  </w:t>
      </w:r>
      <w:r>
        <w:rPr>
          <w:i/>
        </w:rPr>
        <w:t>First-Page Line Scan</w:t>
      </w:r>
      <w:r>
        <w:t>: Performs a plain-text scan for the first line resembling a publication title.</w:t>
      </w:r>
    </w:p>
    <w:p>
      <w:pPr>
        <w:spacing w:after="120" w:before="0"/>
      </w:pPr>
      <w:r>
        <w:t xml:space="preserve">5.  </w:t>
      </w:r>
      <w:r>
        <w:rPr>
          <w:i/>
        </w:rPr>
        <w:t>Sanitized Filename Stem</w:t>
      </w:r>
      <w:r>
        <w:t>: Falls back to the sanitized filename.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Hashing Caching Layer</w:t>
      </w:r>
      <w:r>
        <w:t>: Extracted text blocks are serialized as JSON files and stored under a caching directory. Cache hits are validated using the file modification time (</w:t>
      </w:r>
      <w:r>
        <w:rPr>
          <w:rFonts w:ascii="Courier New" w:hAnsi="Courier New"/>
          <w:color w:val="B42828"/>
          <w:sz w:val="19"/>
        </w:rPr>
        <w:t>mtime</w:t>
      </w:r>
      <w:r>
        <w:t>), bypassing PDF parsing for unchanged documents.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B82B0"/>
          <w:sz w:val="24"/>
        </w:rPr>
        <w:t>Stage 2: NLP Preprocessing &amp; Normalization</w:t>
      </w:r>
    </w:p>
    <w:p>
      <w:pPr>
        <w:spacing w:after="120" w:before="0"/>
      </w:pPr>
      <w:r>
        <w:t>To prevent false negatives due to typographical differences, both paper text and search terms pass through the exact same normalization function:</w:t>
      </w:r>
    </w:p>
    <w:p>
      <w:pPr>
        <w:spacing w:after="120" w:before="0"/>
      </w:pPr>
      <w:r>
        <w:t xml:space="preserve">1.  </w:t>
      </w:r>
      <w:r>
        <w:rPr>
          <w:b/>
        </w:rPr>
        <w:t>Unicode Decomposition</w:t>
      </w:r>
      <w:r>
        <w:t>: Standardizes characters to the Compatibility Decomposition form (</w:t>
      </w:r>
      <w:r>
        <w:rPr>
          <w:rFonts w:ascii="Courier New" w:hAnsi="Courier New"/>
          <w:color w:val="B42828"/>
          <w:sz w:val="19"/>
        </w:rPr>
        <w:t>NFKD</w:t>
      </w:r>
      <w:r>
        <w:t>) to flatten ligatures, accents, and byte-level variations.</w:t>
      </w:r>
    </w:p>
    <w:p>
      <w:pPr>
        <w:spacing w:after="120" w:before="0"/>
      </w:pPr>
      <w:r>
        <w:t xml:space="preserve">2.  </w:t>
      </w:r>
      <w:r>
        <w:rPr>
          <w:b/>
        </w:rPr>
        <w:t>Case Cleansing</w:t>
      </w:r>
      <w:r>
        <w:t>: Converts all strings to lowercase.</w:t>
      </w:r>
    </w:p>
    <w:p>
      <w:pPr>
        <w:spacing w:after="120" w:before="0"/>
      </w:pPr>
      <w:r>
        <w:t xml:space="preserve">3.  </w:t>
      </w:r>
      <w:r>
        <w:rPr>
          <w:b/>
        </w:rPr>
        <w:t>Hyphen &amp; Mark Replacement</w:t>
      </w:r>
      <w:r>
        <w:t>: Replaces hyphens, underscores, and punctuation marks with spaces.</w:t>
      </w:r>
    </w:p>
    <w:p>
      <w:pPr>
        <w:spacing w:after="120" w:before="0"/>
      </w:pPr>
      <w:r>
        <w:t xml:space="preserve">4.  </w:t>
      </w:r>
      <w:r>
        <w:rPr>
          <w:b/>
        </w:rPr>
        <w:t>Non-Alphanumeric Stripping</w:t>
      </w:r>
      <w:r>
        <w:t>: Strips out all non-alphanumeric characters, keeping only printable ASCII letters, numbers, and single spacing.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B82B0"/>
          <w:sz w:val="24"/>
        </w:rPr>
        <w:t>Stage 3: Index-Based Variant Detection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Synonym Mapping</w:t>
      </w:r>
      <w:r>
        <w:t>: Variants are defined alongside synonyms (alternate names). A search index is constructed mapping each unique variant key to its normalized target phrases.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Regex Pre-compilation</w:t>
      </w:r>
      <w:r>
        <w:t>: Each phrase is compiled into a regular expression wrapped in word boundaries:</w:t>
      </w:r>
    </w:p>
    <w:p>
      <w:pPr>
        <w:spacing w:after="120" w:before="0"/>
      </w:pPr>
      <w:r>
        <w:rPr>
          <w:b/>
        </w:rPr>
        <w:t>Pattern</w:t>
      </w:r>
      <w:r>
        <w:t xml:space="preserve"> = </w:t>
      </w:r>
      <w:r>
        <w:rPr>
          <w:rFonts w:ascii="Courier New" w:hAnsi="Courier New"/>
          <w:color w:val="B42828"/>
          <w:sz w:val="19"/>
        </w:rPr>
        <w:t>re.compile</w:t>
      </w:r>
      <w:r>
        <w:t xml:space="preserve">( r"\b" + </w:t>
      </w:r>
      <w:r>
        <w:rPr>
          <w:i/>
        </w:rPr>
        <w:t>escaped_phrase</w:t>
      </w:r>
      <w:r>
        <w:t xml:space="preserve"> + r"\b" )</w:t>
      </w:r>
    </w:p>
    <w:p>
      <w:pPr>
        <w:spacing w:after="120" w:before="0"/>
      </w:pPr>
      <w:r>
        <w:t>This prevents false-positive substring matches (e.g., preventing the term "leasing" from matching "re-leasing").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Binary Detection</w:t>
      </w:r>
      <w:r>
        <w:t xml:space="preserve">: For each paper, a variant is flagged as present (1) if any of its compiled patterns matches at least </w:t>
      </w:r>
      <w:r>
        <w:rPr>
          <w:i/>
        </w:rPr>
        <w:t>T</w:t>
      </w:r>
      <w:r>
        <w:t xml:space="preserve"> times (where </w:t>
      </w:r>
      <w:r>
        <w:rPr>
          <w:i/>
        </w:rPr>
        <w:t>T</w:t>
      </w:r>
      <w:r>
        <w:t xml:space="preserve"> is the </w:t>
      </w:r>
      <w:r>
        <w:rPr>
          <w:rFonts w:ascii="Courier New" w:hAnsi="Courier New"/>
          <w:color w:val="B42828"/>
          <w:sz w:val="19"/>
        </w:rPr>
        <w:t>PRESENCE_THRESHOLD</w:t>
      </w:r>
      <w:r>
        <w:t>, default = 1), and absent (0) otherwise.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B82B0"/>
          <w:sz w:val="24"/>
        </w:rPr>
        <w:t>Stage 4: Matrix Algebra &amp; Dimension Masking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Binary Representation</w:t>
      </w:r>
      <w:r>
        <w:t xml:space="preserve">: The detector outputs a binary matrix </w:t>
      </w:r>
      <w:r>
        <w:rPr>
          <w:i/>
        </w:rPr>
        <w:t>M</w:t>
      </w:r>
      <w:r>
        <w:t xml:space="preserve"> of size </w:t>
      </w:r>
      <w:r>
        <w:rPr>
          <w:i/>
        </w:rPr>
        <w:t>P</w:t>
      </w:r>
      <w:r>
        <w:t xml:space="preserve"> × </w:t>
      </w:r>
      <w:r>
        <w:rPr>
          <w:i/>
        </w:rPr>
        <w:t>V</w:t>
      </w:r>
      <w:r>
        <w:t xml:space="preserve">, where </w:t>
      </w:r>
      <w:r>
        <w:rPr>
          <w:i/>
        </w:rPr>
        <w:t>P</w:t>
      </w:r>
      <w:r>
        <w:t xml:space="preserve"> is the number of papers and </w:t>
      </w:r>
      <w:r>
        <w:rPr>
          <w:i/>
        </w:rPr>
        <w:t>V</w:t>
      </w:r>
      <w:r>
        <w:t xml:space="preserve"> is the number of variants:</w:t>
      </w:r>
    </w:p>
    <w:p>
      <w:pPr>
        <w:spacing w:after="120" w:before="0"/>
      </w:pPr>
      <w:r>
        <w:rPr>
          <w:i/>
        </w:rPr>
        <w:t>M</w:t>
      </w:r>
      <w:r>
        <w:rPr>
          <w:i/>
          <w:vertAlign w:val="subscript"/>
        </w:rPr>
        <w:t>p, v</w:t>
      </w:r>
      <w:r>
        <w:t xml:space="preserve"> ∈ {0, 1}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Co-occurrence Product</w:t>
      </w:r>
      <w:r>
        <w:t>: The raw co-occurrence counts are computed via matrix multiplication:</w:t>
      </w:r>
    </w:p>
    <w:p>
      <w:pPr>
        <w:spacing w:after="120" w:before="0"/>
      </w:pPr>
      <w:r>
        <w:rPr>
          <w:i/>
        </w:rPr>
        <w:t>C</w:t>
      </w:r>
      <w:r>
        <w:t xml:space="preserve"> = </w:t>
      </w:r>
      <w:r>
        <w:rPr>
          <w:i/>
        </w:rPr>
        <w:t>M</w:t>
      </w:r>
      <w:r>
        <w:rPr>
          <w:i/>
          <w:vertAlign w:val="superscript"/>
        </w:rPr>
        <w:t>T</w:t>
      </w:r>
      <w:r>
        <w:t xml:space="preserve"> </w:t>
      </w:r>
      <w:r>
        <w:rPr>
          <w:i/>
        </w:rPr>
        <w:t>M</w:t>
      </w:r>
    </w:p>
    <w:p>
      <w:pPr>
        <w:spacing w:after="120" w:before="0"/>
      </w:pPr>
      <w:r>
        <w:t xml:space="preserve">where </w:t>
      </w:r>
      <w:r>
        <w:rPr>
          <w:i/>
        </w:rPr>
        <w:t>C</w:t>
      </w:r>
      <w:r>
        <w:rPr>
          <w:i/>
          <w:vertAlign w:val="subscript"/>
        </w:rPr>
        <w:t>i, j</w:t>
      </w:r>
      <w:r>
        <w:t xml:space="preserve"> = ∑</w:t>
      </w:r>
      <w:r>
        <w:rPr>
          <w:i/>
          <w:vertAlign w:val="subscript"/>
        </w:rPr>
        <w:t>p=1...P</w:t>
      </w:r>
      <w:r>
        <w:t xml:space="preserve"> </w:t>
      </w:r>
      <w:r>
        <w:rPr>
          <w:i/>
        </w:rPr>
        <w:t>M</w:t>
      </w:r>
      <w:r>
        <w:rPr>
          <w:i/>
          <w:vertAlign w:val="subscript"/>
        </w:rPr>
        <w:t>p, i</w:t>
      </w:r>
      <w:r>
        <w:t xml:space="preserve"> </w:t>
      </w:r>
      <w:r>
        <w:rPr>
          <w:i/>
        </w:rPr>
        <w:t>M</w:t>
      </w:r>
      <w:r>
        <w:rPr>
          <w:i/>
          <w:vertAlign w:val="subscript"/>
        </w:rPr>
        <w:t>p, j</w:t>
      </w:r>
      <w:r>
        <w:t xml:space="preserve"> is the number of papers that contain both variant </w:t>
      </w:r>
      <w:r>
        <w:rPr>
          <w:i/>
        </w:rPr>
        <w:t>i</w:t>
      </w:r>
      <w:r>
        <w:t xml:space="preserve"> and variant </w:t>
      </w:r>
      <w:r>
        <w:rPr>
          <w:i/>
        </w:rPr>
        <w:t>j</w:t>
      </w:r>
      <w:r>
        <w:t>.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Dimension Exclusion Masking</w:t>
      </w:r>
      <w:r>
        <w:t>: The diagonal elements representing self-comparisons (</w:t>
      </w:r>
      <w:r>
        <w:rPr>
          <w:i/>
        </w:rPr>
        <w:t>C</w:t>
      </w:r>
      <w:r>
        <w:rPr>
          <w:i/>
          <w:vertAlign w:val="subscript"/>
        </w:rPr>
        <w:t>i, i</w:t>
      </w:r>
      <w:r>
        <w:t>) are masked out. Crucially, if two variants belong to the same dimension, they represent mutually exclusive categories. The matrix cell is masked with an exclusion value:</w:t>
      </w:r>
    </w:p>
    <w:p>
      <w:pPr>
        <w:spacing w:after="120" w:before="0"/>
      </w:pPr>
      <w:r>
        <w:rPr>
          <w:i/>
        </w:rPr>
        <w:t>C</w:t>
      </w:r>
      <w:r>
        <w:rPr>
          <w:i/>
          <w:vertAlign w:val="subscript"/>
        </w:rPr>
        <w:t>i, j</w:t>
      </w:r>
      <w:r>
        <w:t xml:space="preserve"> = </w:t>
      </w:r>
      <w:r>
        <w:rPr>
          <w:b/>
        </w:rPr>
        <w:t>Masked (NaN/Blank)</w:t>
      </w:r>
      <w:r>
        <w:t>, if dimension(</w:t>
      </w:r>
      <w:r>
        <w:rPr>
          <w:i/>
        </w:rPr>
        <w:t>v</w:t>
      </w:r>
      <w:r>
        <w:rPr>
          <w:i/>
          <w:vertAlign w:val="subscript"/>
        </w:rPr>
        <w:t>i</w:t>
      </w:r>
      <w:r>
        <w:t>) = dimension(</w:t>
      </w:r>
      <w:r>
        <w:rPr>
          <w:i/>
        </w:rPr>
        <w:t>v</w:t>
      </w:r>
      <w:r>
        <w:rPr>
          <w:i/>
          <w:vertAlign w:val="subscript"/>
        </w:rPr>
        <w:t>j</w:t>
      </w:r>
      <w:r>
        <w:t>)</w:t>
      </w:r>
    </w:p>
    <w:p>
      <w:pPr>
        <w:spacing w:after="120" w:before="0"/>
      </w:pPr>
      <w:r>
        <w:rPr>
          <w:i/>
        </w:rPr>
        <w:t>C</w:t>
      </w:r>
      <w:r>
        <w:rPr>
          <w:i/>
          <w:vertAlign w:val="subscript"/>
        </w:rPr>
        <w:t>i, j</w:t>
      </w:r>
      <w:r>
        <w:t xml:space="preserve"> = ∑</w:t>
      </w:r>
      <w:r>
        <w:rPr>
          <w:i/>
          <w:vertAlign w:val="subscript"/>
        </w:rPr>
        <w:t>p</w:t>
      </w:r>
      <w:r>
        <w:t xml:space="preserve"> </w:t>
      </w:r>
      <w:r>
        <w:rPr>
          <w:i/>
        </w:rPr>
        <w:t>M</w:t>
      </w:r>
      <w:r>
        <w:rPr>
          <w:i/>
          <w:vertAlign w:val="subscript"/>
        </w:rPr>
        <w:t>p, i</w:t>
      </w:r>
      <w:r>
        <w:t xml:space="preserve"> </w:t>
      </w:r>
      <w:r>
        <w:rPr>
          <w:i/>
        </w:rPr>
        <w:t>M</w:t>
      </w:r>
      <w:r>
        <w:rPr>
          <w:i/>
          <w:vertAlign w:val="subscript"/>
        </w:rPr>
        <w:t>p, j</w:t>
      </w:r>
      <w:r>
        <w:t>, otherwise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Validation Overrides</w:t>
      </w:r>
      <w:r>
        <w:t xml:space="preserve">: Researchers can manually override single cells in </w:t>
      </w:r>
      <w:r>
        <w:rPr>
          <w:i/>
        </w:rPr>
        <w:t>M</w:t>
      </w:r>
      <w:r>
        <w:t>. Additionally, when a researcher confirms a pair combination (</w:t>
      </w:r>
      <w:r>
        <w:rPr>
          <w:i/>
        </w:rPr>
        <w:t>v</w:t>
      </w:r>
      <w:r>
        <w:rPr>
          <w:i/>
          <w:vertAlign w:val="subscript"/>
        </w:rPr>
        <w:t>i</w:t>
      </w:r>
      <w:r>
        <w:t xml:space="preserve">, </w:t>
      </w:r>
      <w:r>
        <w:rPr>
          <w:i/>
        </w:rPr>
        <w:t>v</w:t>
      </w:r>
      <w:r>
        <w:rPr>
          <w:i/>
          <w:vertAlign w:val="subscript"/>
        </w:rPr>
        <w:t>j</w:t>
      </w:r>
      <w:r>
        <w:t xml:space="preserve">) is present in paper </w:t>
      </w:r>
      <w:r>
        <w:rPr>
          <w:i/>
        </w:rPr>
        <w:t>p</w:t>
      </w:r>
      <w:r>
        <w:t xml:space="preserve">, the system sets </w:t>
      </w:r>
      <w:r>
        <w:rPr>
          <w:i/>
        </w:rPr>
        <w:t>M</w:t>
      </w:r>
      <w:r>
        <w:rPr>
          <w:i/>
          <w:vertAlign w:val="subscript"/>
        </w:rPr>
        <w:t>p, i</w:t>
      </w:r>
      <w:r>
        <w:t xml:space="preserve"> = 1 and </w:t>
      </w:r>
      <w:r>
        <w:rPr>
          <w:i/>
        </w:rPr>
        <w:t>M</w:t>
      </w:r>
      <w:r>
        <w:rPr>
          <w:i/>
          <w:vertAlign w:val="subscript"/>
        </w:rPr>
        <w:t>p, j</w:t>
      </w:r>
      <w:r>
        <w:t xml:space="preserve"> = 1 dynamically. The co-occurrence matrix </w:t>
      </w:r>
      <w:r>
        <w:rPr>
          <w:i/>
        </w:rPr>
        <w:t>C</w:t>
      </w:r>
      <w:r>
        <w:t xml:space="preserve"> is then re-multiplied, ensuring that all overrides flow consistently into downstream tables and visualization heatmaps.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B82B0"/>
          <w:sz w:val="24"/>
        </w:rPr>
        <w:t>Stage 5: Multi-Author Validation &amp; Reliability Metrics</w:t>
      </w:r>
    </w:p>
    <w:p>
      <w:pPr>
        <w:spacing w:after="120" w:before="0"/>
      </w:pPr>
      <w:r>
        <w:t xml:space="preserve">For rigorous peer-reviewed studies, the software supports multi-author manual classification of variant pairs as </w:t>
      </w:r>
      <w:r>
        <w:rPr>
          <w:b/>
        </w:rPr>
        <w:t>R</w:t>
      </w:r>
      <w:r>
        <w:t xml:space="preserve"> (Relevant), </w:t>
      </w:r>
      <w:r>
        <w:rPr>
          <w:b/>
        </w:rPr>
        <w:t>N</w:t>
      </w:r>
      <w:r>
        <w:t xml:space="preserve"> (Not Relevant), or </w:t>
      </w:r>
      <w:r>
        <w:rPr>
          <w:b/>
        </w:rPr>
        <w:t>?</w:t>
      </w:r>
      <w:r>
        <w:t xml:space="preserve"> (Unrated / Uncertain).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Consensus Rating</w:t>
      </w:r>
      <w:r>
        <w:t>: Determined via majority voting:</w:t>
      </w:r>
    </w:p>
    <w:p>
      <w:pPr>
        <w:spacing w:after="120" w:before="0"/>
      </w:pPr>
      <w:r>
        <w:rPr>
          <w:i/>
        </w:rPr>
        <w:t>Consensus Rating</w:t>
      </w:r>
      <w:r>
        <w:t>(</w:t>
      </w:r>
      <w:r>
        <w:rPr>
          <w:i/>
        </w:rPr>
        <w:t>v</w:t>
      </w:r>
      <w:r>
        <w:rPr>
          <w:i/>
          <w:vertAlign w:val="subscript"/>
        </w:rPr>
        <w:t>i</w:t>
      </w:r>
      <w:r>
        <w:t xml:space="preserve">, </w:t>
      </w:r>
      <w:r>
        <w:rPr>
          <w:i/>
        </w:rPr>
        <w:t>v</w:t>
      </w:r>
      <w:r>
        <w:rPr>
          <w:i/>
          <w:vertAlign w:val="subscript"/>
        </w:rPr>
        <w:t>j</w:t>
      </w:r>
      <w:r>
        <w:t>) =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"R"</w:t>
      </w:r>
      <w:r>
        <w:t xml:space="preserve">, if </w:t>
      </w:r>
      <w:r>
        <w:rPr>
          <w:i/>
        </w:rPr>
        <w:t>N</w:t>
      </w:r>
      <w:r>
        <w:rPr>
          <w:i/>
          <w:vertAlign w:val="subscript"/>
        </w:rPr>
        <w:t>R</w:t>
      </w:r>
      <w:r>
        <w:t xml:space="preserve"> &gt; </w:t>
      </w:r>
      <w:r>
        <w:rPr>
          <w:i/>
        </w:rPr>
        <w:t>A</w:t>
      </w:r>
      <w:r>
        <w:t xml:space="preserve"> / 2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"N"</w:t>
      </w:r>
      <w:r>
        <w:t xml:space="preserve">, if </w:t>
      </w:r>
      <w:r>
        <w:rPr>
          <w:i/>
        </w:rPr>
        <w:t>N</w:t>
      </w:r>
      <w:r>
        <w:rPr>
          <w:i/>
          <w:vertAlign w:val="subscript"/>
        </w:rPr>
        <w:t>N</w:t>
      </w:r>
      <w:r>
        <w:t xml:space="preserve"> &gt; </w:t>
      </w:r>
      <w:r>
        <w:rPr>
          <w:i/>
        </w:rPr>
        <w:t>A</w:t>
      </w:r>
      <w:r>
        <w:t xml:space="preserve"> / 2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"?"</w:t>
      </w:r>
      <w:r>
        <w:t>, otherwise</w:t>
      </w:r>
    </w:p>
    <w:p>
      <w:pPr>
        <w:spacing w:after="120" w:before="0"/>
      </w:pPr>
      <w:r>
        <w:t xml:space="preserve">where </w:t>
      </w:r>
      <w:r>
        <w:rPr>
          <w:i/>
        </w:rPr>
        <w:t>A</w:t>
      </w:r>
      <w:r>
        <w:t xml:space="preserve"> is the total number of raters, and </w:t>
      </w:r>
      <w:r>
        <w:rPr>
          <w:i/>
        </w:rPr>
        <w:t>N</w:t>
      </w:r>
      <w:r>
        <w:rPr>
          <w:i/>
          <w:vertAlign w:val="subscript"/>
        </w:rPr>
        <w:t>R</w:t>
      </w:r>
      <w:r>
        <w:t xml:space="preserve">, </w:t>
      </w:r>
      <w:r>
        <w:rPr>
          <w:i/>
        </w:rPr>
        <w:t>N</w:t>
      </w:r>
      <w:r>
        <w:rPr>
          <w:i/>
          <w:vertAlign w:val="subscript"/>
        </w:rPr>
        <w:t>N</w:t>
      </w:r>
      <w:r>
        <w:t xml:space="preserve"> represent ratings for "Relevant" and "Not Relevant".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Inter-Rater Reliability (Krippendorff's Alpha)</w:t>
      </w:r>
      <w:r>
        <w:t xml:space="preserve">: To validate agreement among raters for nominal data, the system computes nominal Krippendorff's Alpha (α) by treating </w:t>
      </w:r>
      <w:r>
        <w:rPr>
          <w:rFonts w:ascii="Courier New" w:hAnsi="Courier New"/>
          <w:color w:val="B42828"/>
          <w:sz w:val="19"/>
        </w:rPr>
        <w:t>"?"</w:t>
      </w:r>
      <w:r>
        <w:t xml:space="preserve"> as missing data:</w:t>
      </w:r>
    </w:p>
    <w:p>
      <w:pPr>
        <w:spacing w:after="120" w:before="0"/>
      </w:pPr>
      <w:r>
        <w:t xml:space="preserve">α = 1 - </w:t>
      </w:r>
      <w:r>
        <w:rPr>
          <w:i/>
        </w:rPr>
        <w:t>D</w:t>
      </w:r>
      <w:r>
        <w:rPr>
          <w:i/>
          <w:vertAlign w:val="subscript"/>
        </w:rPr>
        <w:t>o</w:t>
      </w:r>
      <w:r>
        <w:t xml:space="preserve"> / </w:t>
      </w:r>
      <w:r>
        <w:rPr>
          <w:i/>
        </w:rPr>
        <w:t>D</w:t>
      </w:r>
      <w:r>
        <w:rPr>
          <w:i/>
          <w:vertAlign w:val="subscript"/>
        </w:rPr>
        <w:t>e</w:t>
      </w:r>
    </w:p>
    <w:p>
      <w:pPr>
        <w:spacing w:after="120" w:before="0"/>
      </w:pPr>
      <w:r>
        <w:t xml:space="preserve">The software builds a 2 × 2 coincidence matrix </w:t>
      </w:r>
      <w:r>
        <w:rPr>
          <w:i/>
        </w:rPr>
        <w:t>O</w:t>
      </w:r>
      <w:r>
        <w:t xml:space="preserve"> for active categories </w:t>
      </w:r>
      <w:r>
        <w:rPr>
          <w:i/>
        </w:rPr>
        <w:t>u, v</w:t>
      </w:r>
      <w:r>
        <w:t xml:space="preserve"> ∈ {"R", "N"}:</w:t>
      </w:r>
    </w:p>
    <w:p>
      <w:pPr>
        <w:spacing w:after="120" w:before="0"/>
      </w:pPr>
      <w:r>
        <w:rPr>
          <w:i/>
        </w:rPr>
        <w:t>O</w:t>
      </w:r>
      <w:r>
        <w:rPr>
          <w:i/>
          <w:vertAlign w:val="subscript"/>
        </w:rPr>
        <w:t>u, v</w:t>
      </w:r>
      <w:r>
        <w:t xml:space="preserve"> = ∑</w:t>
      </w:r>
      <w:r>
        <w:rPr>
          <w:i/>
          <w:vertAlign w:val="subscript"/>
        </w:rPr>
        <w:t>i</w:t>
      </w:r>
      <w:r>
        <w:t xml:space="preserve"> [ </w:t>
      </w:r>
      <w:r>
        <w:rPr>
          <w:i/>
        </w:rPr>
        <w:t>n</w:t>
      </w:r>
      <w:r>
        <w:rPr>
          <w:i/>
          <w:vertAlign w:val="subscript"/>
        </w:rPr>
        <w:t>i, u</w:t>
      </w:r>
      <w:r>
        <w:t xml:space="preserve"> </w:t>
      </w:r>
      <w:r>
        <w:rPr>
          <w:i/>
        </w:rPr>
        <w:t>n</w:t>
      </w:r>
      <w:r>
        <w:rPr>
          <w:i/>
          <w:vertAlign w:val="subscript"/>
        </w:rPr>
        <w:t>i, v</w:t>
      </w:r>
      <w:r>
        <w:t xml:space="preserve"> - δ</w:t>
      </w:r>
      <w:r>
        <w:rPr>
          <w:i/>
          <w:vertAlign w:val="subscript"/>
        </w:rPr>
        <w:t>u, v</w:t>
      </w:r>
      <w:r>
        <w:t xml:space="preserve"> </w:t>
      </w:r>
      <w:r>
        <w:rPr>
          <w:i/>
        </w:rPr>
        <w:t>n</w:t>
      </w:r>
      <w:r>
        <w:rPr>
          <w:i/>
          <w:vertAlign w:val="subscript"/>
        </w:rPr>
        <w:t>i, u</w:t>
      </w:r>
      <w:r>
        <w:t xml:space="preserve"> ] / [ </w:t>
      </w:r>
      <w:r>
        <w:rPr>
          <w:i/>
        </w:rPr>
        <w:t>n</w:t>
      </w:r>
      <w:r>
        <w:rPr>
          <w:i/>
          <w:vertAlign w:val="subscript"/>
        </w:rPr>
        <w:t>i</w:t>
      </w:r>
      <w:r>
        <w:t xml:space="preserve"> - 1 ]</w:t>
      </w:r>
    </w:p>
    <w:p>
      <w:pPr>
        <w:spacing w:after="120" w:before="0"/>
      </w:pPr>
      <w:r>
        <w:t xml:space="preserve">where </w:t>
      </w:r>
      <w:r>
        <w:rPr>
          <w:i/>
        </w:rPr>
        <w:t>n</w:t>
      </w:r>
      <w:r>
        <w:rPr>
          <w:i/>
          <w:vertAlign w:val="subscript"/>
        </w:rPr>
        <w:t>i, u</w:t>
      </w:r>
      <w:r>
        <w:t xml:space="preserve"> is the number of active raters who assigned category </w:t>
      </w:r>
      <w:r>
        <w:rPr>
          <w:i/>
        </w:rPr>
        <w:t>u</w:t>
      </w:r>
      <w:r>
        <w:t xml:space="preserve"> to pair </w:t>
      </w:r>
      <w:r>
        <w:rPr>
          <w:i/>
        </w:rPr>
        <w:t>i</w:t>
      </w:r>
      <w:r>
        <w:t xml:space="preserve">, </w:t>
      </w:r>
      <w:r>
        <w:rPr>
          <w:i/>
        </w:rPr>
        <w:t>n</w:t>
      </w:r>
      <w:r>
        <w:rPr>
          <w:i/>
          <w:vertAlign w:val="subscript"/>
        </w:rPr>
        <w:t>i</w:t>
      </w:r>
      <w:r>
        <w:t xml:space="preserve"> is the number of active raters who rated pair </w:t>
      </w:r>
      <w:r>
        <w:rPr>
          <w:i/>
        </w:rPr>
        <w:t>i</w:t>
      </w:r>
      <w:r>
        <w:t>, and δ</w:t>
      </w:r>
      <w:r>
        <w:rPr>
          <w:i/>
          <w:vertAlign w:val="subscript"/>
        </w:rPr>
        <w:t>u, v</w:t>
      </w:r>
      <w:r>
        <w:t xml:space="preserve"> is the Kronecker delta. Pairs with fewer than 2 active ratings are excluded.</w:t>
      </w:r>
    </w:p>
    <w:p>
      <w:pPr>
        <w:spacing w:after="120" w:before="0"/>
      </w:pPr>
      <w:r>
        <w:t>The observed disagreement is:</w:t>
      </w:r>
    </w:p>
    <w:p>
      <w:pPr>
        <w:spacing w:after="120" w:before="0"/>
      </w:pPr>
      <w:r>
        <w:rPr>
          <w:i/>
        </w:rPr>
        <w:t>D</w:t>
      </w:r>
      <w:r>
        <w:rPr>
          <w:i/>
          <w:vertAlign w:val="subscript"/>
        </w:rPr>
        <w:t>o</w:t>
      </w:r>
      <w:r>
        <w:t xml:space="preserve"> = </w:t>
      </w:r>
      <w:r>
        <w:rPr>
          <w:i/>
        </w:rPr>
        <w:t>N</w:t>
      </w:r>
      <w:r>
        <w:t xml:space="preserve"> - ∑</w:t>
      </w:r>
      <w:r>
        <w:rPr>
          <w:i/>
          <w:vertAlign w:val="subscript"/>
        </w:rPr>
        <w:t>v</w:t>
      </w:r>
      <w:r>
        <w:t xml:space="preserve"> </w:t>
      </w:r>
      <w:r>
        <w:rPr>
          <w:i/>
        </w:rPr>
        <w:t>O</w:t>
      </w:r>
      <w:r>
        <w:rPr>
          <w:i/>
          <w:vertAlign w:val="subscript"/>
        </w:rPr>
        <w:t>v, v</w:t>
      </w:r>
      <w:r>
        <w:t xml:space="preserve">     where </w:t>
      </w:r>
      <w:r>
        <w:rPr>
          <w:i/>
        </w:rPr>
        <w:t>N</w:t>
      </w:r>
      <w:r>
        <w:t xml:space="preserve"> = ∑</w:t>
      </w:r>
      <w:r>
        <w:rPr>
          <w:i/>
          <w:vertAlign w:val="subscript"/>
        </w:rPr>
        <w:t>u, v</w:t>
      </w:r>
      <w:r>
        <w:t xml:space="preserve"> </w:t>
      </w:r>
      <w:r>
        <w:rPr>
          <w:i/>
        </w:rPr>
        <w:t>O</w:t>
      </w:r>
      <w:r>
        <w:rPr>
          <w:i/>
          <w:vertAlign w:val="subscript"/>
        </w:rPr>
        <w:t>u, v</w:t>
      </w:r>
    </w:p>
    <w:p>
      <w:pPr>
        <w:spacing w:after="120" w:before="0"/>
      </w:pPr>
      <w:r>
        <w:t xml:space="preserve">The expected disagreement </w:t>
      </w:r>
      <w:r>
        <w:rPr>
          <w:i/>
        </w:rPr>
        <w:t>D</w:t>
      </w:r>
      <w:r>
        <w:rPr>
          <w:i/>
          <w:vertAlign w:val="subscript"/>
        </w:rPr>
        <w:t>e</w:t>
      </w:r>
      <w:r>
        <w:t xml:space="preserve"> is calculated using the marginal totals </w:t>
      </w:r>
      <w:r>
        <w:rPr>
          <w:i/>
        </w:rPr>
        <w:t>P</w:t>
      </w:r>
      <w:r>
        <w:rPr>
          <w:i/>
          <w:vertAlign w:val="subscript"/>
        </w:rPr>
        <w:t>v</w:t>
      </w:r>
      <w:r>
        <w:t xml:space="preserve"> = ∑</w:t>
      </w:r>
      <w:r>
        <w:rPr>
          <w:i/>
          <w:vertAlign w:val="subscript"/>
        </w:rPr>
        <w:t>u</w:t>
      </w:r>
      <w:r>
        <w:t xml:space="preserve"> </w:t>
      </w:r>
      <w:r>
        <w:rPr>
          <w:i/>
        </w:rPr>
        <w:t>O</w:t>
      </w:r>
      <w:r>
        <w:rPr>
          <w:i/>
          <w:vertAlign w:val="subscript"/>
        </w:rPr>
        <w:t>u, v</w:t>
      </w:r>
      <w:r>
        <w:t>:</w:t>
      </w:r>
    </w:p>
    <w:p>
      <w:pPr>
        <w:spacing w:after="120" w:before="0"/>
      </w:pPr>
      <w:r>
        <w:rPr>
          <w:i/>
        </w:rPr>
        <w:t>D</w:t>
      </w:r>
      <w:r>
        <w:rPr>
          <w:i/>
          <w:vertAlign w:val="subscript"/>
        </w:rPr>
        <w:t>e</w:t>
      </w:r>
      <w:r>
        <w:t xml:space="preserve"> = [ 1 / (</w:t>
      </w:r>
      <w:r>
        <w:rPr>
          <w:i/>
        </w:rPr>
        <w:t>N</w:t>
      </w:r>
      <w:r>
        <w:t xml:space="preserve"> - 1) ] × ( </w:t>
      </w:r>
      <w:r>
        <w:rPr>
          <w:i/>
        </w:rPr>
        <w:t>N</w:t>
      </w:r>
      <w:r>
        <w:rPr>
          <w:vertAlign w:val="superscript"/>
        </w:rPr>
        <w:t>2</w:t>
      </w:r>
      <w:r>
        <w:t xml:space="preserve"> - ∑</w:t>
      </w:r>
      <w:r>
        <w:rPr>
          <w:i/>
          <w:vertAlign w:val="subscript"/>
        </w:rPr>
        <w:t>v</w:t>
      </w:r>
      <w:r>
        <w:t xml:space="preserve"> </w:t>
      </w:r>
      <w:r>
        <w:rPr>
          <w:i/>
        </w:rPr>
        <w:t>P</w:t>
      </w:r>
      <w:r>
        <w:rPr>
          <w:i/>
          <w:vertAlign w:val="subscript"/>
        </w:rPr>
        <w:t>v</w:t>
      </w:r>
      <w:r>
        <w:rPr>
          <w:vertAlign w:val="superscript"/>
        </w:rPr>
        <w:t>2</w:t>
      </w:r>
      <w:r>
        <w:t xml:space="preserve"> )</w:t>
      </w:r>
    </w:p>
    <w:p>
      <w:pPr>
        <w:spacing w:after="120" w:before="0"/>
      </w:pPr>
      <w:r>
        <w:t>If $D_e = 0$, the function returns $1.0$ (perfect agreement).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Research Fertility Ratio</w:t>
      </w:r>
      <w:r>
        <w:t>: Quantifies the unused opportunity density within the morphological space:</w:t>
      </w:r>
    </w:p>
    <w:p>
      <w:pPr>
        <w:spacing w:after="120" w:before="0"/>
      </w:pPr>
      <w:r>
        <w:rPr>
          <w:i/>
        </w:rPr>
        <w:t>R</w:t>
      </w:r>
      <w:r>
        <w:rPr>
          <w:i/>
          <w:vertAlign w:val="subscript"/>
        </w:rPr>
        <w:t>fertility</w:t>
      </w:r>
      <w:r>
        <w:t xml:space="preserve"> = </w:t>
      </w:r>
      <w:r>
        <w:rPr>
          <w:i/>
        </w:rPr>
        <w:t>N</w:t>
      </w:r>
      <w:r>
        <w:rPr>
          <w:i/>
          <w:vertAlign w:val="subscript"/>
        </w:rPr>
        <w:t>opportunity</w:t>
      </w:r>
      <w:r>
        <w:t xml:space="preserve"> / </w:t>
      </w:r>
      <w:r>
        <w:rPr>
          <w:i/>
        </w:rPr>
        <w:t>N</w:t>
      </w:r>
      <w:r>
        <w:rPr>
          <w:i/>
          <w:vertAlign w:val="subscript"/>
        </w:rPr>
        <w:t>total_pairs</w:t>
      </w:r>
    </w:p>
    <w:p>
      <w:pPr>
        <w:spacing w:after="120" w:before="0"/>
      </w:pPr>
      <w:r>
        <w:t xml:space="preserve">where </w:t>
      </w:r>
      <w:r>
        <w:rPr>
          <w:i/>
        </w:rPr>
        <w:t>N</w:t>
      </w:r>
      <w:r>
        <w:rPr>
          <w:i/>
          <w:vertAlign w:val="subscript"/>
        </w:rPr>
        <w:t>opportunity</w:t>
      </w:r>
      <w:r>
        <w:t xml:space="preserve"> is the count of cross-dimension variant pairs rated </w:t>
      </w:r>
      <w:r>
        <w:rPr>
          <w:b/>
        </w:rPr>
        <w:t>"R"</w:t>
      </w:r>
      <w:r>
        <w:t xml:space="preserve"> (Relevant) by consensus that have a co-occurrence count of 0 in the literature, and </w:t>
      </w:r>
      <w:r>
        <w:rPr>
          <w:i/>
        </w:rPr>
        <w:t>N</w:t>
      </w:r>
      <w:r>
        <w:rPr>
          <w:i/>
          <w:vertAlign w:val="subscript"/>
        </w:rPr>
        <w:t>total_pairs</w:t>
      </w:r>
      <w:r>
        <w:t xml:space="preserve"> is the total number of possible cross-dimension pairs (excluding same-dimension combinations).</w:t>
      </w:r>
    </w:p>
    <w:p>
      <w:pPr>
        <w:spacing w:after="120" w:before="0"/>
      </w:pPr>
      <w: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4470"/>
          <w:sz w:val="28"/>
        </w:rPr>
        <w:t>2. Combined Fertility Matrix (G, N, ?, E Outcomes)</w:t>
      </w:r>
    </w:p>
    <w:p>
      <w:pPr>
        <w:spacing w:after="120" w:before="0"/>
      </w:pPr>
      <w:r>
        <w:t xml:space="preserve">To bridge literature co-occurrence counts and multi-author consensus ratings, the system provides a combined </w:t>
      </w:r>
      <w:r>
        <w:rPr>
          <w:b/>
        </w:rPr>
        <w:t>Fertility Matrix</w:t>
      </w:r>
      <w:r>
        <w:t>. This matrix maps each cross-dimension variant pair to one of five academic outcomes:</w:t>
      </w:r>
    </w:p>
    <w:p>
      <w:pPr>
        <w:spacing w:after="120" w:before="0"/>
      </w:pPr>
      <w:r>
        <w:t xml:space="preserve">1.  </w:t>
      </w:r>
      <w:r>
        <w:rPr>
          <w:b/>
        </w:rPr>
        <w:t>`G` (Gap / Opportunity)</w:t>
      </w:r>
      <w:r>
        <w:t>: Conceptually relevant (</w:t>
      </w:r>
      <w:r>
        <w:rPr>
          <w:rFonts w:ascii="Courier New" w:hAnsi="Courier New"/>
          <w:color w:val="B42828"/>
          <w:sz w:val="19"/>
        </w:rPr>
        <w:t>R</w:t>
      </w:r>
      <w:r>
        <w:t xml:space="preserve">) but </w:t>
      </w:r>
      <w:r>
        <w:rPr>
          <w:rFonts w:ascii="Courier New" w:hAnsi="Courier New"/>
          <w:color w:val="B42828"/>
          <w:sz w:val="19"/>
        </w:rPr>
        <w:t>0</w:t>
      </w:r>
      <w:r>
        <w:t xml:space="preserve"> papers. Highlighted using the darkest color stop of the selected color scale.</w:t>
      </w:r>
    </w:p>
    <w:p>
      <w:pPr>
        <w:spacing w:after="120" w:before="0"/>
      </w:pPr>
      <w:r>
        <w:t xml:space="preserve">2.  </w:t>
      </w:r>
      <w:r>
        <w:rPr>
          <w:b/>
        </w:rPr>
        <w:t>`N` (Not Relevant)</w:t>
      </w:r>
      <w:r>
        <w:t>: Conceptually not relevant (</w:t>
      </w:r>
      <w:r>
        <w:rPr>
          <w:rFonts w:ascii="Courier New" w:hAnsi="Courier New"/>
          <w:color w:val="B42828"/>
          <w:sz w:val="19"/>
        </w:rPr>
        <w:t>N</w:t>
      </w:r>
      <w:r>
        <w:t xml:space="preserve">) and </w:t>
      </w:r>
      <w:r>
        <w:rPr>
          <w:rFonts w:ascii="Courier New" w:hAnsi="Courier New"/>
          <w:color w:val="B42828"/>
          <w:sz w:val="19"/>
        </w:rPr>
        <w:t>0</w:t>
      </w:r>
      <w:r>
        <w:t xml:space="preserve"> papers. Displayed in standard white.</w:t>
      </w:r>
    </w:p>
    <w:p>
      <w:pPr>
        <w:spacing w:after="120" w:before="0"/>
      </w:pPr>
      <w:r>
        <w:t xml:space="preserve">3.  </w:t>
      </w:r>
      <w:r>
        <w:rPr>
          <w:b/>
        </w:rPr>
        <w:t>`?` (Unresolved)</w:t>
      </w:r>
      <w:r>
        <w:t>: Unresolved/Tied (</w:t>
      </w:r>
      <w:r>
        <w:rPr>
          <w:rFonts w:ascii="Courier New" w:hAnsi="Courier New"/>
          <w:color w:val="B42828"/>
          <w:sz w:val="19"/>
        </w:rPr>
        <w:t>?</w:t>
      </w:r>
      <w:r>
        <w:t xml:space="preserve">) consensus rating and </w:t>
      </w:r>
      <w:r>
        <w:rPr>
          <w:rFonts w:ascii="Courier New" w:hAnsi="Courier New"/>
          <w:color w:val="B42828"/>
          <w:sz w:val="19"/>
        </w:rPr>
        <w:t>0</w:t>
      </w:r>
      <w:r>
        <w:t xml:space="preserve"> papers. Displayed in standard white.</w:t>
      </w:r>
    </w:p>
    <w:p>
      <w:pPr>
        <w:spacing w:after="120" w:before="0"/>
      </w:pPr>
      <w:r>
        <w:t xml:space="preserve">4.  </w:t>
      </w:r>
      <w:r>
        <w:rPr>
          <w:b/>
        </w:rPr>
        <w:t>`E` (Error / Discrepancy)</w:t>
      </w:r>
      <w:r>
        <w:t>: Conceptually not relevant (</w:t>
      </w:r>
      <w:r>
        <w:rPr>
          <w:rFonts w:ascii="Courier New" w:hAnsi="Courier New"/>
          <w:color w:val="B42828"/>
          <w:sz w:val="19"/>
        </w:rPr>
        <w:t>N</w:t>
      </w:r>
      <w:r>
        <w:t xml:space="preserve">), but </w:t>
      </w:r>
      <w:r>
        <w:rPr>
          <w:rFonts w:ascii="Courier New" w:hAnsi="Courier New"/>
          <w:color w:val="B42828"/>
          <w:sz w:val="19"/>
        </w:rPr>
        <w:t>count &gt; 0</w:t>
      </w:r>
      <w:r>
        <w:t xml:space="preserve"> papers already exist. Displayed in standard white.</w:t>
      </w:r>
    </w:p>
    <w:p>
      <w:pPr>
        <w:spacing w:after="120" w:before="0"/>
      </w:pPr>
      <w:r>
        <w:t xml:space="preserve">5.  </w:t>
      </w:r>
      <w:r>
        <w:rPr>
          <w:b/>
        </w:rPr>
        <w:t>`Count` (Literature density)</w:t>
      </w:r>
      <w:r>
        <w:t>: Conceptually relevant (</w:t>
      </w:r>
      <w:r>
        <w:rPr>
          <w:rFonts w:ascii="Courier New" w:hAnsi="Courier New"/>
          <w:color w:val="B42828"/>
          <w:sz w:val="19"/>
        </w:rPr>
        <w:t>R</w:t>
      </w:r>
      <w:r>
        <w:t>) or unresolved (</w:t>
      </w:r>
      <w:r>
        <w:rPr>
          <w:rFonts w:ascii="Courier New" w:hAnsi="Courier New"/>
          <w:color w:val="B42828"/>
          <w:sz w:val="19"/>
        </w:rPr>
        <w:t>?</w:t>
      </w:r>
      <w:r>
        <w:t xml:space="preserve">) and </w:t>
      </w:r>
      <w:r>
        <w:rPr>
          <w:rFonts w:ascii="Courier New" w:hAnsi="Courier New"/>
          <w:color w:val="B42828"/>
          <w:sz w:val="19"/>
        </w:rPr>
        <w:t>count &gt; 0</w:t>
      </w:r>
      <w:r>
        <w:t xml:space="preserve"> papers exist. Displays the count (e.g. </w:t>
      </w:r>
      <w:r>
        <w:rPr>
          <w:rFonts w:ascii="Courier New" w:hAnsi="Courier New"/>
          <w:color w:val="B42828"/>
          <w:sz w:val="19"/>
        </w:rPr>
        <w:t>1</w:t>
      </w:r>
      <w:r>
        <w:t xml:space="preserve">, </w:t>
      </w:r>
      <w:r>
        <w:rPr>
          <w:rFonts w:ascii="Courier New" w:hAnsi="Courier New"/>
          <w:color w:val="B42828"/>
          <w:sz w:val="19"/>
        </w:rPr>
        <w:t>2</w:t>
      </w:r>
      <w:r>
        <w:t xml:space="preserve">, </w:t>
      </w:r>
      <w:r>
        <w:rPr>
          <w:rFonts w:ascii="Courier New" w:hAnsi="Courier New"/>
          <w:color w:val="B42828"/>
          <w:sz w:val="19"/>
        </w:rPr>
        <w:t>3</w:t>
      </w:r>
      <w:r>
        <w:t>) colored by literature density.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B82B0"/>
          <w:sz w:val="24"/>
        </w:rPr>
        <w:t>Static Heatmap Colormap Resolution</w:t>
      </w:r>
    </w:p>
    <w:p>
      <w:pPr>
        <w:spacing w:after="120" w:before="0"/>
      </w:pPr>
      <w:r>
        <w:t xml:space="preserve">To prevent matplotlib from incorrectly binning the discrete outcome codes (G, N, ?, E, which are internally mapped to numeric codes </w:t>
      </w:r>
      <w:r>
        <w:rPr>
          <w:rFonts w:ascii="Courier New" w:hAnsi="Courier New"/>
          <w:color w:val="B42828"/>
          <w:sz w:val="19"/>
        </w:rPr>
        <w:t>0.0</w:t>
      </w:r>
      <w:r>
        <w:t xml:space="preserve">, </w:t>
      </w:r>
      <w:r>
        <w:rPr>
          <w:rFonts w:ascii="Courier New" w:hAnsi="Courier New"/>
          <w:color w:val="B42828"/>
          <w:sz w:val="19"/>
        </w:rPr>
        <w:t>0.25</w:t>
      </w:r>
      <w:r>
        <w:t xml:space="preserve">, </w:t>
      </w:r>
      <w:r>
        <w:rPr>
          <w:rFonts w:ascii="Courier New" w:hAnsi="Courier New"/>
          <w:color w:val="B42828"/>
          <w:sz w:val="19"/>
        </w:rPr>
        <w:t>0.5</w:t>
      </w:r>
      <w:r>
        <w:t xml:space="preserve">, </w:t>
      </w:r>
      <w:r>
        <w:rPr>
          <w:rFonts w:ascii="Courier New" w:hAnsi="Courier New"/>
          <w:color w:val="B42828"/>
          <w:sz w:val="19"/>
        </w:rPr>
        <w:t>0.75</w:t>
      </w:r>
      <w:r>
        <w:t xml:space="preserve"> respectively) due to default 256-color lookup table constraints, the system compiles static PNG/SVG heatmaps using a high-resolution colormap with </w:t>
      </w:r>
      <w:r>
        <w:rPr>
          <w:b/>
        </w:rPr>
        <w:t>`N = 4096`</w:t>
      </w:r>
      <w:r>
        <w:t xml:space="preserve"> color stops. This guarantees visual consistency between Plotly browser rendering and downloaded images.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B82B0"/>
          <w:sz w:val="24"/>
        </w:rPr>
        <w:t>Blanking Pre-Validation State</w:t>
      </w:r>
    </w:p>
    <w:p>
      <w:pPr>
        <w:spacing w:after="120" w:before="0"/>
      </w:pPr>
      <w:r>
        <w:t>To prevent visual clutter, the entire inter-rater reliability analysis and Fertility Matrix views (Sections 3 through 6) are hidden from the interface until at least one active rating (</w:t>
      </w:r>
      <w:r>
        <w:rPr>
          <w:rFonts w:ascii="Courier New" w:hAnsi="Courier New"/>
          <w:color w:val="B42828"/>
          <w:sz w:val="19"/>
        </w:rPr>
        <w:t>R</w:t>
      </w:r>
      <w:r>
        <w:t xml:space="preserve"> or </w:t>
      </w:r>
      <w:r>
        <w:rPr>
          <w:rFonts w:ascii="Courier New" w:hAnsi="Courier New"/>
          <w:color w:val="B42828"/>
          <w:sz w:val="19"/>
        </w:rPr>
        <w:t>N</w:t>
      </w:r>
      <w:r>
        <w:t>) has been registered in the system.</w:t>
      </w:r>
    </w:p>
    <w:p>
      <w:pPr>
        <w:spacing w:after="120" w:before="0"/>
      </w:pPr>
      <w: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4470"/>
          <w:sz w:val="28"/>
        </w:rPr>
        <w:t>3. Persistent Data Layer</w:t>
      </w:r>
    </w:p>
    <w:p>
      <w:pPr>
        <w:spacing w:after="120" w:before="0"/>
      </w:pPr>
      <w:r>
        <w:t>When compiled as a standalone bundle via PyInstaller:</w:t>
      </w:r>
    </w:p>
    <w:p>
      <w:pPr>
        <w:pStyle w:val="ListBullet"/>
        <w:spacing w:after="80" w:before="0"/>
      </w:pPr>
      <w:r>
        <w:t xml:space="preserve">  The system separates read-only template resources (stored in </w:t>
      </w:r>
      <w:r>
        <w:rPr>
          <w:rFonts w:ascii="Courier New" w:hAnsi="Courier New"/>
          <w:color w:val="B42828"/>
          <w:sz w:val="19"/>
        </w:rPr>
        <w:t>sys._MEIPASS</w:t>
      </w:r>
      <w:r>
        <w:t xml:space="preserve"> as </w:t>
      </w:r>
      <w:r>
        <w:rPr>
          <w:rFonts w:ascii="Courier New" w:hAnsi="Courier New"/>
          <w:color w:val="B42828"/>
          <w:sz w:val="19"/>
        </w:rPr>
        <w:t>BUNDLE_ROOT</w:t>
      </w:r>
      <w:r>
        <w:t>) from user-modified files.</w:t>
      </w:r>
    </w:p>
    <w:p>
      <w:pPr>
        <w:pStyle w:val="ListBullet"/>
        <w:spacing w:after="80" w:before="0"/>
      </w:pPr>
      <w:r>
        <w:t xml:space="preserve">  Persistent user data—including manual validation ratings, overrides, configuration, and custom paper uploads—are stored in a </w:t>
      </w:r>
      <w:r>
        <w:rPr>
          <w:rFonts w:ascii="Courier New" w:hAnsi="Courier New"/>
          <w:color w:val="B42828"/>
          <w:sz w:val="19"/>
        </w:rPr>
        <w:t>PERSISTENT_ROOT</w:t>
      </w:r>
      <w:r>
        <w:t xml:space="preserve"> directory located next to the application binary on disk.</w:t>
      </w:r>
    </w:p>
    <w:p>
      <w:pPr>
        <w:pStyle w:val="ListBullet"/>
        <w:spacing w:after="80" w:before="0"/>
      </w:pPr>
      <w:r>
        <w:t xml:space="preserve">  If missing on startup, the defaults are automatically initialized, preventing data loss when the application is closed.</w:t>
      </w:r>
    </w:p>
    <w:p>
      <w:pPr>
        <w:spacing w:after="120" w:before="0"/>
      </w:pPr>
      <w: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4470"/>
          <w:sz w:val="28"/>
        </w:rPr>
        <w:t>4. Core Python Libraries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2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3120"/>
            <w:shd w:fill="1B2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Version / Constraint</w:t>
            </w:r>
          </w:p>
        </w:tc>
        <w:tc>
          <w:tcPr>
            <w:tcW w:type="dxa" w:w="3120"/>
            <w:shd w:fill="1B2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Role in Software Architecture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b/>
              </w:rPr>
              <w:t>Streamlit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B42828"/>
                <w:sz w:val="19"/>
              </w:rPr>
              <w:t>==1.55.0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t>Powers the web-server, handles session state caching, routing, and interactive data editors.</w:t>
            </w:r>
          </w:p>
        </w:tc>
      </w:tr>
      <w:tr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rPr>
                <w:b/>
              </w:rPr>
              <w:t>PyMuPDF (`fitz`)</w:t>
            </w:r>
          </w:p>
        </w:tc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rPr>
                <w:rFonts w:ascii="Courier New" w:hAnsi="Courier New"/>
                <w:color w:val="B42828"/>
                <w:sz w:val="19"/>
              </w:rPr>
              <w:t>==1.27.1</w:t>
            </w:r>
          </w:p>
        </w:tc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t>Extracts text from PDF files, processes page geometry, and extracts document titles.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b/>
              </w:rPr>
              <w:t>Pandas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B42828"/>
                <w:sz w:val="19"/>
              </w:rPr>
              <w:t>==2.3.3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t>Manages DataFrame indexing, imports/exports CSVs, and structures binary matrices.</w:t>
            </w:r>
          </w:p>
        </w:tc>
      </w:tr>
      <w:tr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rPr>
                <w:b/>
              </w:rPr>
              <w:t>NumPy</w:t>
            </w:r>
          </w:p>
        </w:tc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rPr>
                <w:rFonts w:ascii="Courier New" w:hAnsi="Courier New"/>
                <w:color w:val="B42828"/>
                <w:sz w:val="19"/>
              </w:rPr>
              <w:t>==2.4.2</w:t>
            </w:r>
          </w:p>
        </w:tc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t>Executes linear algebra calculations (</w:t>
            </w:r>
            <w:r>
              <w:rPr>
                <w:i/>
              </w:rPr>
              <w:t>M</w:t>
            </w:r>
            <w:r>
              <w:rPr>
                <w:i/>
                <w:vertAlign w:val="superscript"/>
              </w:rPr>
              <w:t>T</w:t>
            </w:r>
            <w:r>
              <w:t xml:space="preserve"> </w:t>
            </w:r>
            <w:r>
              <w:rPr>
                <w:i/>
              </w:rPr>
              <w:t>M</w:t>
            </w:r>
            <w:r>
              <w:t>) and calculates Krippendorff's alpha coincidence matrices.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b/>
              </w:rPr>
              <w:t>Plotly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B42828"/>
                <w:sz w:val="19"/>
              </w:rPr>
              <w:t>==6.6.0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t>Renders interactive heatmaps with hover states and filterable sub-matrix slicing.</w:t>
            </w:r>
          </w:p>
        </w:tc>
      </w:tr>
      <w:tr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rPr>
                <w:b/>
              </w:rPr>
              <w:t>Seaborn &amp; Matplotlib</w:t>
            </w:r>
          </w:p>
        </w:tc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rPr>
                <w:rFonts w:ascii="Courier New" w:hAnsi="Courier New"/>
                <w:color w:val="B42828"/>
                <w:sz w:val="19"/>
              </w:rPr>
              <w:t>==0.13.2</w:t>
            </w:r>
            <w:r>
              <w:t xml:space="preserve"> / </w:t>
            </w:r>
            <w:r>
              <w:rPr>
                <w:rFonts w:ascii="Courier New" w:hAnsi="Courier New"/>
                <w:color w:val="B42828"/>
                <w:sz w:val="19"/>
              </w:rPr>
              <w:t>==3.10.8</w:t>
            </w:r>
          </w:p>
        </w:tc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t>Generates vector-based, publication-quality static SVG and PNG files for paper downloads.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b/>
              </w:rPr>
              <w:t>openpyxl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B42828"/>
                <w:sz w:val="19"/>
              </w:rPr>
              <w:t>==3.1.5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t>Parses multi-sheet Excel files during the variant dictionary import process.</w:t>
            </w:r>
          </w:p>
        </w:tc>
      </w:tr>
      <w:tr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rPr>
                <w:b/>
              </w:rPr>
              <w:t>pdfplumber</w:t>
            </w:r>
          </w:p>
        </w:tc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rPr>
                <w:rFonts w:ascii="Courier New" w:hAnsi="Courier New"/>
                <w:color w:val="B42828"/>
                <w:sz w:val="19"/>
              </w:rPr>
              <w:t>==0.11.9</w:t>
            </w:r>
          </w:p>
        </w:tc>
        <w:tc>
          <w:tcPr>
            <w:tcW w:type="dxa" w:w="3120"/>
            <w:shd w:fill="EEF1F6"/>
          </w:tcPr>
          <w:p>
            <w:pPr>
              <w:spacing w:after="40" w:before="40"/>
            </w:pPr>
            <w:r>
              <w:t>Legacy PDF parser, kept as a fallback text extraction library.</w:t>
            </w:r>
          </w:p>
        </w:tc>
      </w:tr>
    </w:tbl>
    <w:p>
      <w:pPr>
        <w:spacing w:after="120" w:before="0"/>
      </w:pPr>
      <w: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4470"/>
          <w:sz w:val="28"/>
        </w:rPr>
        <w:t>5. Operational Integrity &amp; Multithreading</w:t>
      </w:r>
    </w:p>
    <w:p>
      <w:pPr>
        <w:spacing w:after="120" w:before="0"/>
      </w:pPr>
      <w:r>
        <w:t>The software addresses two core issues common in systematic literature review toolkits: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Thread-Based Parallelism</w:t>
      </w:r>
      <w:r>
        <w:t xml:space="preserve">: Processing hundreds of papers sequentially is bottlenecked by text extraction. To speed this up, the system wraps extraction in a </w:t>
      </w:r>
      <w:r>
        <w:rPr>
          <w:rFonts w:ascii="Courier New" w:hAnsi="Courier New"/>
          <w:color w:val="B42828"/>
          <w:sz w:val="19"/>
        </w:rPr>
        <w:t>ThreadPoolExecutor</w:t>
      </w:r>
      <w:r>
        <w:t xml:space="preserve"> mapping. Because </w:t>
      </w:r>
      <w:r>
        <w:rPr>
          <w:rFonts w:ascii="Courier New" w:hAnsi="Courier New"/>
          <w:color w:val="B42828"/>
          <w:sz w:val="19"/>
        </w:rPr>
        <w:t>PyMuPDF</w:t>
      </w:r>
      <w:r>
        <w:t xml:space="preserve"> is implemented in C, it releases the Python Global Interpreter Lock (GIL) during extraction. This allows true multi-threaded CPU speedups while avoiding OneDrive cloud-sync file lockouts that occur when spawning subprocess pools on macOS.</w:t>
      </w:r>
    </w:p>
    <w:p>
      <w:pPr>
        <w:pStyle w:val="ListBullet"/>
        <w:spacing w:after="80" w:before="0"/>
      </w:pPr>
      <w:r>
        <w:t xml:space="preserve">  </w:t>
      </w:r>
      <w:r>
        <w:rPr>
          <w:b/>
        </w:rPr>
        <w:t>Asynchronous State Retention</w:t>
      </w:r>
      <w:r>
        <w:t>: Streamlit normally reruns the entire script upon user interaction (such as tab switching), which would interrupt long-running runs. The analyzer solves this by pushing analysis states to a module-level dictionary (</w:t>
      </w:r>
      <w:r>
        <w:rPr>
          <w:rFonts w:ascii="Courier New" w:hAnsi="Courier New"/>
          <w:color w:val="B42828"/>
          <w:sz w:val="19"/>
        </w:rPr>
        <w:t>_RESULT</w:t>
      </w:r>
      <w:r>
        <w:t>). The background daemon thread writes results directly to this global memory space, allowing users to move between tabs while a run finishes in the background.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