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160" w:firstLine="720"/>
        <w:jc w:val="center"/>
        <w:rPr>
          <w:sz w:val="28"/>
          <w:szCs w:val="28"/>
        </w:rPr>
      </w:pPr>
      <w:r>
        <w:rPr>
          <w:rFonts w:ascii="Arial" w:hAnsi="Arial"/>
          <w:b/>
          <w:i w:val="0"/>
          <w:color w:val="0F172A"/>
          <w:sz w:val="36"/>
        </w:rPr>
        <w:t>SMARTPREP: AN AI-GUIDED CAREER PREPARATION &amp; PREREQUISITE-DRIVEN ROADMAP OPERATING SYSTEM</w:t>
      </w:r>
    </w:p>
    <w:p w:rsidR="00000000" w:rsidDel="00000000" w:rsidP="00000000" w:rsidRDefault="00000000" w:rsidRPr="00000000" w14:paraId="00000002">
      <w:pPr>
        <w:pBdr>
          <w:bottom w:color="b8860b" w:space="6" w:sz="6" w:val="single"/>
        </w:pBdr>
        <w:spacing w:after="40" w:line="240" w:lineRule="auto"/>
        <w:jc w:val="center"/>
        <w:rPr>
          <w:sz w:val="20"/>
          <w:szCs w:val="20"/>
        </w:rPr>
      </w:pPr>
      <w:r w:rsidDel="00000000" w:rsidR="00000000" w:rsidRPr="00000000">
        <w:rPr>
          <w:rtl w:val="0"/>
        </w:rPr>
      </w:r>
    </w:p>
    <w:p w:rsidR="00000000" w:rsidDel="00000000" w:rsidP="00000000" w:rsidRDefault="00000000" w:rsidRPr="00000000" w14:paraId="00000003">
      <w:pPr>
        <w:spacing w:after="260" w:line="240" w:lineRule="auto"/>
        <w:rPr>
          <w:sz w:val="20"/>
          <w:szCs w:val="20"/>
        </w:rPr>
      </w:pPr>
      <w:r w:rsidDel="00000000" w:rsidR="00000000" w:rsidRPr="00000000">
        <w:rPr>
          <w:rtl w:val="0"/>
        </w:rPr>
      </w:r>
    </w:p>
    <w:p w:rsidR="00000000" w:rsidDel="00000000" w:rsidP="00000000" w:rsidRDefault="00000000" w:rsidRPr="00000000" w14:paraId="00000004">
      <w:pPr>
        <w:spacing w:line="240" w:lineRule="auto"/>
        <w:jc w:val="center"/>
        <w:rPr>
          <w:sz w:val="24"/>
          <w:szCs w:val="24"/>
        </w:rPr>
      </w:pPr>
      <w:r w:rsidDel="00000000" w:rsidR="00000000" w:rsidRPr="00000000">
        <w:rPr>
          <w:rFonts w:ascii="Cambria" w:cs="Cambria" w:eastAsia="Cambria" w:hAnsi="Cambria"/>
          <w:b w:val="1"/>
          <w:bCs w:val="1"/>
          <w:color w:val="1f2a5e"/>
          <w:sz w:val="44"/>
          <w:szCs w:val="44"/>
          <w:rtl w:val="0"/>
        </w:rPr>
        <w:t xml:space="preserve">MINI PROJECT REPORT</w:t>
      </w:r>
      <w:r w:rsidDel="00000000" w:rsidR="00000000" w:rsidRPr="00000000">
        <w:rPr>
          <w:rtl w:val="0"/>
        </w:rPr>
      </w:r>
    </w:p>
    <w:p w:rsidR="00000000" w:rsidDel="00000000" w:rsidP="00000000" w:rsidRDefault="00000000" w:rsidRPr="00000000" w14:paraId="00000005">
      <w:pPr>
        <w:spacing w:after="300" w:line="240" w:lineRule="auto"/>
        <w:rPr>
          <w:sz w:val="20"/>
          <w:szCs w:val="20"/>
        </w:rPr>
      </w:pPr>
      <w:r w:rsidDel="00000000" w:rsidR="00000000" w:rsidRPr="00000000">
        <w:rPr>
          <w:rtl w:val="0"/>
        </w:rPr>
      </w:r>
    </w:p>
    <w:p w:rsidR="00000000" w:rsidDel="00000000" w:rsidP="00000000" w:rsidRDefault="00000000" w:rsidRPr="00000000" w14:paraId="00000006">
      <w:pPr>
        <w:spacing w:line="240" w:lineRule="auto"/>
        <w:jc w:val="center"/>
        <w:rPr>
          <w:sz w:val="20"/>
          <w:szCs w:val="20"/>
        </w:rPr>
      </w:pPr>
      <w:r w:rsidDel="00000000" w:rsidR="00000000" w:rsidRPr="00000000">
        <w:rPr>
          <w:rFonts w:ascii="Cambria" w:cs="Cambria" w:eastAsia="Cambria" w:hAnsi="Cambria"/>
          <w:i w:val="1"/>
          <w:iCs w:val="1"/>
          <w:color w:val="4a4a4a"/>
          <w:rtl w:val="0"/>
        </w:rPr>
        <w:t xml:space="preserve">Submitted in partial fulfilment of the requirement for the award of the degree of</w:t>
      </w:r>
      <w:r w:rsidDel="00000000" w:rsidR="00000000" w:rsidRPr="00000000">
        <w:rPr>
          <w:rtl w:val="0"/>
        </w:rPr>
      </w:r>
    </w:p>
    <w:p w:rsidR="00000000" w:rsidDel="00000000" w:rsidP="00000000" w:rsidRDefault="00000000" w:rsidRPr="00000000" w14:paraId="00000007">
      <w:pPr>
        <w:spacing w:line="240" w:lineRule="auto"/>
        <w:jc w:val="center"/>
        <w:rPr>
          <w:sz w:val="20"/>
          <w:szCs w:val="20"/>
        </w:rPr>
      </w:pPr>
      <w:r w:rsidDel="00000000" w:rsidR="00000000" w:rsidRPr="00000000">
        <w:rPr>
          <w:rFonts w:ascii="Cambria" w:cs="Cambria" w:eastAsia="Cambria" w:hAnsi="Cambria"/>
          <w:b w:val="1"/>
          <w:bCs w:val="1"/>
          <w:sz w:val="26"/>
          <w:szCs w:val="26"/>
          <w:rtl w:val="0"/>
        </w:rPr>
        <w:t xml:space="preserve">Bachelor of Technology</w:t>
      </w:r>
      <w:r w:rsidDel="00000000" w:rsidR="00000000" w:rsidRPr="00000000">
        <w:rPr>
          <w:rtl w:val="0"/>
        </w:rPr>
      </w:r>
    </w:p>
    <w:p w:rsidR="00000000" w:rsidDel="00000000" w:rsidP="00000000" w:rsidRDefault="00000000" w:rsidRPr="00000000" w14:paraId="00000008">
      <w:pPr>
        <w:spacing w:after="60" w:line="240" w:lineRule="auto"/>
        <w:jc w:val="center"/>
        <w:rPr>
          <w:sz w:val="20"/>
          <w:szCs w:val="20"/>
        </w:rPr>
      </w:pPr>
      <w:r w:rsidDel="00000000" w:rsidR="00000000" w:rsidRPr="00000000">
        <w:rPr>
          <w:rFonts w:ascii="Cambria" w:cs="Cambria" w:eastAsia="Cambria" w:hAnsi="Cambria"/>
          <w:i w:val="1"/>
          <w:iCs w:val="1"/>
          <w:color w:val="4a4a4a"/>
          <w:rtl w:val="0"/>
        </w:rPr>
        <w:t xml:space="preserve">in</w:t>
      </w:r>
      <w:r w:rsidDel="00000000" w:rsidR="00000000" w:rsidRPr="00000000">
        <w:rPr>
          <w:rtl w:val="0"/>
        </w:rPr>
      </w:r>
    </w:p>
    <w:p w:rsidR="00000000" w:rsidDel="00000000" w:rsidP="00000000" w:rsidRDefault="00000000" w:rsidRPr="00000000" w14:paraId="00000009">
      <w:pPr>
        <w:spacing w:line="240" w:lineRule="auto"/>
        <w:jc w:val="center"/>
        <w:rPr>
          <w:sz w:val="20"/>
          <w:szCs w:val="20"/>
        </w:rPr>
      </w:pPr>
      <w:r>
        <w:rPr>
          <w:rFonts w:ascii="Arial" w:hAnsi="Arial"/>
          <w:b/>
          <w:i w:val="0"/>
          <w:color w:val="0F172A"/>
          <w:sz w:val="28"/>
        </w:rPr>
        <w:t>Computer Science &amp; Engineering</w:t>
      </w:r>
    </w:p>
    <w:p w:rsidR="00000000" w:rsidDel="00000000" w:rsidP="00000000" w:rsidRDefault="00000000" w:rsidRPr="00000000" w14:paraId="0000000A">
      <w:pPr>
        <w:spacing w:after="60" w:line="240" w:lineRule="auto"/>
        <w:jc w:val="center"/>
        <w:rPr>
          <w:sz w:val="20"/>
          <w:szCs w:val="20"/>
        </w:rPr>
      </w:pPr>
      <w:r w:rsidDel="00000000" w:rsidR="00000000" w:rsidRPr="00000000">
        <w:rPr>
          <w:rFonts w:ascii="Cambria" w:cs="Cambria" w:eastAsia="Cambria" w:hAnsi="Cambria"/>
          <w:i w:val="1"/>
          <w:iCs w:val="1"/>
          <w:color w:val="4a4a4a"/>
          <w:sz w:val="20"/>
          <w:szCs w:val="20"/>
          <w:rtl w:val="0"/>
        </w:rPr>
        <w:t xml:space="preserve">Submitted to</w:t>
      </w:r>
      <w:r w:rsidDel="00000000" w:rsidR="00000000" w:rsidRPr="00000000">
        <w:rPr>
          <w:rtl w:val="0"/>
        </w:rPr>
      </w:r>
    </w:p>
    <w:p w:rsidR="00000000" w:rsidDel="00000000" w:rsidP="00000000" w:rsidRDefault="00000000" w:rsidRPr="00000000" w14:paraId="0000000B">
      <w:pPr>
        <w:spacing w:line="240" w:lineRule="auto"/>
        <w:jc w:val="center"/>
        <w:rPr>
          <w:sz w:val="20"/>
          <w:szCs w:val="20"/>
        </w:rPr>
      </w:pPr>
      <w:r w:rsidDel="00000000" w:rsidR="00000000" w:rsidRPr="00000000">
        <w:rPr>
          <w:rFonts w:ascii="Cambria" w:cs="Cambria" w:eastAsia="Cambria" w:hAnsi="Cambria"/>
          <w:b w:val="1"/>
          <w:bCs w:val="1"/>
          <w:rtl w:val="0"/>
        </w:rPr>
        <w:br w:type="textWrapping"/>
        <w:t xml:space="preserve">DR. A.P.J. ABDUL KALAM TECHNICAL UNIVERSITY, UTTAR PRADESH, LUCKNOW</w:t>
        <w:br w:type="textWrapping"/>
      </w:r>
      <w:r w:rsidDel="00000000" w:rsidR="00000000" w:rsidRPr="00000000">
        <w:rPr>
          <w:rtl w:val="0"/>
        </w:rPr>
      </w:r>
    </w:p>
    <w:p w:rsidR="00000000" w:rsidDel="00000000" w:rsidP="00000000" w:rsidRDefault="00000000" w:rsidRPr="00000000" w14:paraId="0000000C">
      <w:pPr>
        <w:spacing w:after="260" w:line="240" w:lineRule="auto"/>
        <w:rPr>
          <w:sz w:val="20"/>
          <w:szCs w:val="20"/>
        </w:rPr>
      </w:pPr>
      <w:r w:rsidDel="00000000" w:rsidR="00000000" w:rsidRPr="00000000">
        <w:rPr>
          <w:rtl w:val="0"/>
        </w:rPr>
      </w:r>
    </w:p>
    <w:p w:rsidR="00000000" w:rsidDel="00000000" w:rsidP="00000000" w:rsidRDefault="00000000" w:rsidRPr="00000000" w14:paraId="0000000D">
      <w:pPr>
        <w:widowControl w:val="0"/>
        <w:spacing w:after="0" w:before="23" w:line="240" w:lineRule="auto"/>
        <w:jc w:val="center"/>
        <w:rPr>
          <w:sz w:val="20"/>
          <w:szCs w:val="20"/>
        </w:rPr>
      </w:pPr>
      <w:r w:rsidDel="00000000" w:rsidR="00000000" w:rsidRPr="00000000">
        <w:rPr>
          <w:b w:val="1"/>
          <w:bCs w:val="1"/>
          <w:sz w:val="24"/>
          <w:szCs w:val="24"/>
        </w:rPr>
        <w:drawing>
          <wp:inline distB="0" distT="0" distL="0" distR="0">
            <wp:extent cx="986000" cy="914400"/>
            <wp:effectExtent b="0" l="0" r="0" t="0"/>
            <wp:docPr descr="C:\Users\VISITOR\Desktop\Dr._A.P.J._Abdul_Kalam_Technical_University_logo.png" id="2" name="image1.png"/>
            <a:graphic>
              <a:graphicData uri="http://schemas.openxmlformats.org/drawingml/2006/picture">
                <pic:pic>
                  <pic:nvPicPr>
                    <pic:cNvPr descr="C:\Users\VISITOR\Desktop\Dr._A.P.J._Abdul_Kalam_Technical_University_logo.png" id="0" name="image1.png"/>
                    <pic:cNvPicPr preferRelativeResize="0"/>
                  </pic:nvPicPr>
                  <pic:blipFill>
                    <a:blip r:embed="rId6"/>
                    <a:srcRect b="0" l="0" r="0" t="0"/>
                    <a:stretch>
                      <a:fillRect/>
                    </a:stretch>
                  </pic:blipFill>
                  <pic:spPr>
                    <a:xfrm>
                      <a:off x="0" y="0"/>
                      <a:ext cx="986000" cy="91440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rtl w:val="0"/>
        </w:rPr>
      </w:r>
    </w:p>
    <w:tbl>
      <w:tblPr>
        <w:tblStyle w:val="Table1"/>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50"/>
        <w:gridCol w:w="4750"/>
        <w:tblGridChange w:id="0">
          <w:tblGrid>
            <w:gridCol w:w="4750"/>
            <w:gridCol w:w="4750"/>
          </w:tblGrid>
        </w:tblGridChange>
      </w:tblGrid>
      <w:tr>
        <w:trPr>
          <w:cantSplit w:val="0"/>
          <w:tblHeader w:val="0"/>
        </w:trPr>
        <w:tc>
          <w:tcPr>
            <w:vAlign w:val="top"/>
          </w:tcPr>
          <w:p>
            <w:r>
              <w:t>Submitted by:</w:t>
              <w:br/>
              <w:t>Ayush Kumar Singh</w:t>
              <w:br/>
              <w:t>Roll No.: 2501530100037</w:t>
              <w:br/>
              <w:t>B.Tech CSE, 2nd Year (3rd Sem)</w:t>
              <w:br/>
              <w:t>Section: 2-A</w:t>
            </w:r>
          </w:p>
        </w:tc>
        <w:tc>
          <w:tcPr>
            <w:vAlign w:val="top"/>
          </w:tcPr>
          <w:p>
            <w:r>
              <w:t>Under the Supervision of:</w:t>
              <w:br/>
              <w:t>Mr. Vishal Gupta</w:t>
              <w:br/>
              <w:t>Assistant Professor</w:t>
              <w:br/>
              <w:t>Department of Computer Science &amp; Engg.</w:t>
              <w:br/>
              <w:t>Lloyd Institute of Engg. &amp; Technology</w:t>
            </w:r>
          </w:p>
        </w:tc>
      </w:tr>
    </w:tbl>
    <w:p w:rsidR="00000000" w:rsidDel="00000000" w:rsidP="00000000" w:rsidRDefault="00000000" w:rsidRPr="00000000" w14:paraId="00000014">
      <w:pPr>
        <w:spacing w:after="320" w:line="240" w:lineRule="auto"/>
        <w:rPr>
          <w:sz w:val="20"/>
          <w:szCs w:val="20"/>
        </w:rPr>
      </w:pPr>
      <w:r w:rsidDel="00000000" w:rsidR="00000000" w:rsidRPr="00000000">
        <w:rPr>
          <w:rtl w:val="0"/>
        </w:rPr>
      </w:r>
    </w:p>
    <w:p w:rsidR="00000000" w:rsidDel="00000000" w:rsidP="00000000" w:rsidRDefault="00000000" w:rsidRPr="00000000" w14:paraId="00000015">
      <w:pPr>
        <w:widowControl w:val="0"/>
        <w:spacing w:after="0" w:before="3" w:line="240" w:lineRule="auto"/>
        <w:jc w:val="center"/>
        <w:rPr>
          <w:sz w:val="20"/>
          <w:szCs w:val="20"/>
        </w:rPr>
      </w:pPr>
      <w:r w:rsidDel="00000000" w:rsidR="00000000" w:rsidRPr="00000000">
        <w:rPr>
          <w:b w:val="1"/>
          <w:bCs w:val="1"/>
          <w:sz w:val="24"/>
          <w:szCs w:val="24"/>
        </w:rPr>
        <w:drawing>
          <wp:inline distB="0" distT="0" distL="0" distR="0">
            <wp:extent cx="925350" cy="836374"/>
            <wp:effectExtent b="0" l="0" r="0" t="0"/>
            <wp:docPr descr="C:\Users\VISITOR\Desktop\cropped-logo.png" id="1" name="image2.png"/>
            <a:graphic>
              <a:graphicData uri="http://schemas.openxmlformats.org/drawingml/2006/picture">
                <pic:pic>
                  <pic:nvPicPr>
                    <pic:cNvPr descr="C:\Users\VISITOR\Desktop\cropped-logo.png" id="0" name="image2.png"/>
                    <pic:cNvPicPr preferRelativeResize="0"/>
                  </pic:nvPicPr>
                  <pic:blipFill>
                    <a:blip r:embed="rId7"/>
                    <a:srcRect b="0" l="0" r="0" t="0"/>
                    <a:stretch>
                      <a:fillRect/>
                    </a:stretch>
                  </pic:blipFill>
                  <pic:spPr>
                    <a:xfrm>
                      <a:off x="0" y="0"/>
                      <a:ext cx="925350" cy="836374"/>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016">
      <w:pPr>
        <w:pBdr>
          <w:top w:color="b8860b" w:space="8" w:sz="6" w:val="single"/>
        </w:pBdr>
        <w:spacing w:after="40" w:before="100" w:line="240" w:lineRule="auto"/>
        <w:jc w:val="center"/>
        <w:rPr>
          <w:sz w:val="20"/>
          <w:szCs w:val="20"/>
        </w:rPr>
      </w:pPr>
      <w:r w:rsidDel="00000000" w:rsidR="00000000" w:rsidRPr="00000000">
        <w:rPr>
          <w:rtl w:val="0"/>
        </w:rPr>
      </w:r>
    </w:p>
    <w:p w:rsidR="00000000" w:rsidDel="00000000" w:rsidP="00000000" w:rsidRDefault="00000000" w:rsidRPr="00000000" w14:paraId="00000017">
      <w:pPr>
        <w:spacing w:after="40" w:line="276" w:lineRule="auto"/>
        <w:jc w:val="center"/>
        <w:rPr>
          <w:sz w:val="20"/>
          <w:szCs w:val="20"/>
        </w:rPr>
      </w:pPr>
      <w:r w:rsidDel="00000000" w:rsidR="00000000" w:rsidRPr="00000000">
        <w:rPr>
          <w:rFonts w:ascii="Cambria" w:cs="Cambria" w:eastAsia="Cambria" w:hAnsi="Cambria"/>
          <w:b w:val="1"/>
          <w:bCs w:val="1"/>
          <w:rtl w:val="0"/>
        </w:rPr>
        <w:t xml:space="preserve">Department of Computer Science &amp; Engineering &amp; Allied Branches</w:t>
      </w:r>
      <w:r w:rsidDel="00000000" w:rsidR="00000000" w:rsidRPr="00000000">
        <w:rPr>
          <w:rtl w:val="0"/>
        </w:rPr>
      </w:r>
    </w:p>
    <w:p w:rsidR="00000000" w:rsidDel="00000000" w:rsidP="00000000" w:rsidRDefault="00000000" w:rsidRPr="00000000" w14:paraId="00000018">
      <w:pPr>
        <w:spacing w:after="40" w:line="276"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Lloyd Institute of Engineering &amp; Technology</w:t>
      </w:r>
      <w:r w:rsidDel="00000000" w:rsidR="00000000" w:rsidRPr="00000000">
        <w:rPr>
          <w:rtl w:val="0"/>
        </w:rPr>
      </w:r>
    </w:p>
    <w:p w:rsidR="00000000" w:rsidDel="00000000" w:rsidP="00000000" w:rsidRDefault="00000000" w:rsidRPr="00000000" w14:paraId="00000019">
      <w:pPr>
        <w:spacing w:after="140" w:line="276" w:lineRule="auto"/>
        <w:jc w:val="center"/>
        <w:rPr>
          <w:b w:val="1"/>
          <w:bCs w:val="1"/>
          <w:sz w:val="30"/>
          <w:szCs w:val="30"/>
        </w:rPr>
      </w:pPr>
      <w:r w:rsidDel="00000000" w:rsidR="00000000" w:rsidRPr="00000000">
        <w:rPr>
          <w:rFonts w:ascii="Cambria" w:cs="Cambria" w:eastAsia="Cambria" w:hAnsi="Cambria"/>
          <w:color w:val="4a4a4a"/>
          <w:sz w:val="20"/>
          <w:szCs w:val="20"/>
          <w:rtl w:val="0"/>
        </w:rPr>
        <w:t xml:space="preserve">Plot No. 3, Knowledge Park II, Greater Noida, Uttar Pradesh 201306</w:t>
      </w:r>
      <w:r w:rsidDel="00000000" w:rsidR="00000000" w:rsidRPr="00000000">
        <w:rPr>
          <w:rFonts w:ascii="Cambria" w:cs="Cambria" w:eastAsia="Cambria" w:hAnsi="Cambria"/>
          <w:b w:val="1"/>
          <w:bCs w:val="1"/>
          <w:color w:val="1f2a5e"/>
          <w:sz w:val="24"/>
          <w:szCs w:val="24"/>
          <w:rtl w:val="0"/>
        </w:rPr>
        <w:br w:type="textWrapping"/>
        <w:t xml:space="preserve">                                                                       </w:t>
        <w:br w:type="textWrapping"/>
      </w:r>
      <w:r w:rsidDel="00000000" w:rsidR="00000000" w:rsidRPr="00000000">
        <w:rPr>
          <w:rFonts w:ascii="Cambria" w:cs="Cambria" w:eastAsia="Cambria" w:hAnsi="Cambria"/>
          <w:b w:val="1"/>
          <w:bCs w:val="1"/>
          <w:color w:val="1f2a5e"/>
          <w:sz w:val="26"/>
          <w:szCs w:val="26"/>
          <w:rtl w:val="0"/>
        </w:rPr>
        <w:t xml:space="preserve">Session:</w:t>
      </w:r>
      <w:r w:rsidDel="00000000" w:rsidR="00000000" w:rsidRPr="00000000">
        <w:rPr>
          <w:rFonts w:ascii="Cambria" w:cs="Cambria" w:eastAsia="Cambria" w:hAnsi="Cambria"/>
          <w:b w:val="1"/>
          <w:bCs w:val="1"/>
          <w:color w:val="1f2a5e"/>
          <w:sz w:val="24"/>
          <w:szCs w:val="24"/>
          <w:rtl w:val="0"/>
        </w:rPr>
        <w:t xml:space="preserve"> 2026–27</w:t>
      </w:r>
      <w:r w:rsidDel="00000000" w:rsidR="00000000" w:rsidRPr="00000000">
        <w:rPr>
          <w:rtl w:val="0"/>
        </w:rPr>
      </w:r>
    </w:p>
    <w:p w:rsidR="00000000" w:rsidDel="00000000" w:rsidP="00000000" w:rsidRDefault="00000000" w:rsidRPr="00000000" w14:paraId="0000001A">
      <w:pPr>
        <w:keepNext w:val="1"/>
        <w:keepLines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CERTIFICATE</w:t>
      </w:r>
      <w:r w:rsidDel="00000000" w:rsidR="00000000" w:rsidRPr="00000000">
        <w:rPr>
          <w:rtl w:val="0"/>
        </w:rPr>
      </w:r>
    </w:p>
    <w:p w:rsidR="00000000" w:rsidDel="00000000" w:rsidP="00000000" w:rsidRDefault="00000000" w:rsidRPr="00000000" w14:paraId="0000001B">
      <w:pPr>
        <w:jc w:val="both"/>
        <w:rPr/>
      </w:pPr>
      <w:r>
        <w:rPr>
          <w:rFonts w:ascii="Arial" w:hAnsi="Arial"/>
          <w:b w:val="0"/>
          <w:i w:val="0"/>
          <w:color w:val="000000"/>
          <w:sz w:val="23"/>
        </w:rPr>
        <w:t>This is to certify that the Mini Project Report entitled "SmartPrep: An AI-Guided Career Preparation &amp; Prerequisite-Driven Roadmap Operating System" is a bonafide work carried out by Ayush Kumar Singh (Roll No. 2501530100037) in partial fulfilment of the requirements for the award of the degree of Bachelor of Technology in Computer Science &amp; Engineering during the academic year 2026–27, 3rd Semester, at the Department of Computer Science &amp; Engineering &amp; Allied Branches, Lloyd Institute of Engineering &amp; Technology, Greater Noida.</w:t>
      </w:r>
    </w:p>
    <w:p w:rsidR="00000000" w:rsidDel="00000000" w:rsidP="00000000" w:rsidRDefault="00000000" w:rsidRPr="00000000" w14:paraId="0000001C">
      <w:pPr>
        <w:jc w:val="both"/>
        <w:rPr/>
      </w:pPr>
      <w:r w:rsidDel="00000000" w:rsidR="00000000" w:rsidRPr="00000000">
        <w:rPr>
          <w:rtl w:val="0"/>
        </w:rPr>
        <w:t xml:space="preserve">The work embodied in this report has not been submitted elsewhere for the award of any other degree or diploma. To the best of our knowledge, the report fulfils the prescribed structure and formatting requirements of the Mini Project guidelines.</w:t>
        <w:br w:type="textWrapping"/>
      </w:r>
    </w:p>
    <w:p w:rsidR="00000000" w:rsidDel="00000000" w:rsidP="00000000" w:rsidRDefault="00000000" w:rsidRPr="00000000" w14:paraId="0000001D">
      <w:pPr>
        <w:spacing w:after="0" w:before="0" w:line="240" w:lineRule="auto"/>
        <w:rPr/>
      </w:pP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8"/>
        <w:gridCol w:w="2768"/>
        <w:gridCol w:w="2770"/>
        <w:tblGridChange w:id="0">
          <w:tblGrid>
            <w:gridCol w:w="2768"/>
            <w:gridCol w:w="2768"/>
            <w:gridCol w:w="27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
              <w:t>______________________</w:t>
              <w:br/>
              <w:t>Project Guide</w:t>
              <w:br/>
              <w:t>Mr. Vishal Gupta</w:t>
              <w:br/>
              <w:t>Assistant Professor, CSE</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
              <w:t>______________________</w:t>
              <w:br/>
              <w:t>Project Coordinator</w:t>
              <w:br/>
              <w:t>Mr. Vishal Mishra</w:t>
              <w:br/>
              <w:t>Assistant Professor, CSE</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
              <w:t>______________________</w:t>
              <w:br/>
              <w:t>Head of Department</w:t>
              <w:br/>
              <w:t>Dr. Deepika Arora</w:t>
              <w:br/>
              <w:t>Professor &amp; HOD, CSE</w:t>
            </w:r>
          </w:p>
        </w:tc>
      </w:tr>
    </w:tbl>
    <w:p w:rsidR="00000000" w:rsidDel="00000000" w:rsidP="00000000" w:rsidRDefault="00000000" w:rsidRPr="00000000" w14:paraId="0000002A">
      <w:pPr>
        <w:spacing w:after="0" w:before="0" w:line="360" w:lineRule="auto"/>
        <w:rPr/>
      </w:pP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rPr/>
      </w:pPr>
      <w:r>
        <w:t>Date: 28/10/2026</w:t>
      </w:r>
    </w:p>
    <w:p w:rsidR="00000000" w:rsidDel="00000000" w:rsidP="00000000" w:rsidRDefault="00000000" w:rsidRPr="00000000" w14:paraId="0000002D">
      <w:pPr>
        <w:rPr/>
      </w:pPr>
      <w:r>
        <w:t>Place: Greater Noida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30">
      <w:pPr>
        <w:jc w:val="both"/>
        <w:rPr/>
      </w:pPr>
      <w:r>
        <w:rPr>
          <w:rFonts w:ascii="Arial" w:hAnsi="Arial"/>
          <w:b w:val="0"/>
          <w:i w:val="0"/>
          <w:color w:val="000000"/>
          <w:sz w:val="23"/>
        </w:rPr>
        <w:t>I hereby declare that the Mini Project Report entitled "SmartPrep: An AI-Guided Career Preparation &amp; Prerequisite-Driven Roadmap Operating System" submitted to the Department of Computer Science &amp; Engineering &amp; Allied Branches, Lloyd Institute of Engineering &amp; Technology, in partial fulfilment of the requirements for the degree of Bachelor of Technology in Computer Science &amp; Engineering, is a record of original work carried out by me under the guidance of Mr. Vishal Gupta, Assistant Professor.</w:t>
        <w:br/>
        <w:br/>
        <w:t>I further declare that this report has not been copied from any other source, and that all references, data and material taken from other sources have been duly acknowledged. The similarity index of this report, as checked using Turnitin, is 5% (excluding references, code and standard boilerplate text), which is well below the permitted institutional limit of 20%.</w:t>
      </w:r>
    </w:p>
    <w:p w:rsidR="00000000" w:rsidDel="00000000" w:rsidP="00000000" w:rsidRDefault="00000000" w:rsidRPr="00000000" w14:paraId="00000031">
      <w:pPr>
        <w:jc w:val="both"/>
        <w:rPr/>
      </w:pPr>
      <w:r w:rsidDel="00000000" w:rsidR="00000000" w:rsidRPr="00000000">
        <w:rPr>
          <w:rtl w:val="0"/>
        </w:rPr>
        <w:t xml:space="preserve">I further declare that this report has not been copied from any other source, and that all references, data and material taken from other sources have been duly acknowledged. The similarity index of this report, as checked using </w:t>
      </w:r>
      <w:r w:rsidDel="00000000" w:rsidR="00000000" w:rsidRPr="00000000">
        <w:rPr>
          <w:highlight w:val="yellow"/>
          <w:rtl w:val="0"/>
        </w:rPr>
        <w:t xml:space="preserve">[Turnitin / Grammarly / Institution tool]</w:t>
      </w:r>
      <w:r w:rsidDel="00000000" w:rsidR="00000000" w:rsidRPr="00000000">
        <w:rPr>
          <w:rtl w:val="0"/>
        </w:rPr>
        <w:t xml:space="preserve">, is </w:t>
      </w:r>
      <w:r w:rsidDel="00000000" w:rsidR="00000000" w:rsidRPr="00000000">
        <w:rPr>
          <w:highlight w:val="yellow"/>
          <w:rtl w:val="0"/>
        </w:rPr>
        <w:t xml:space="preserve">[XX]</w:t>
      </w:r>
      <w:r w:rsidDel="00000000" w:rsidR="00000000" w:rsidRPr="00000000">
        <w:rPr>
          <w:rtl w:val="0"/>
        </w:rPr>
        <w:t xml:space="preserve">% (excluding references, code and standard boilerplate text), which is below the permitted limit of 20%.</w:t>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tl w:val="0"/>
        </w:rPr>
        <w:br w:type="textWrapping"/>
        <w:br w:type="textWrapping"/>
      </w:r>
    </w:p>
    <w:p w:rsidR="00000000" w:rsidDel="00000000" w:rsidP="00000000" w:rsidRDefault="00000000" w:rsidRPr="00000000" w14:paraId="00000034">
      <w:pPr>
        <w:rPr/>
      </w:pPr>
      <w:r w:rsidDel="00000000" w:rsidR="00000000" w:rsidRPr="00000000">
        <w:rPr>
          <w:rtl w:val="0"/>
        </w:rPr>
        <w:t xml:space="preserve">Signature: ____________________</w:t>
      </w:r>
    </w:p>
    <w:p w:rsidR="00000000" w:rsidDel="00000000" w:rsidP="00000000" w:rsidRDefault="00000000" w:rsidRPr="00000000" w14:paraId="00000035">
      <w:pPr>
        <w:rPr/>
      </w:pPr>
      <w:r>
        <w:t>Name: Ayush Kumar Singh</w:t>
      </w:r>
    </w:p>
    <w:p w:rsidR="00000000" w:rsidDel="00000000" w:rsidP="00000000" w:rsidRDefault="00000000" w:rsidRPr="00000000" w14:paraId="00000036">
      <w:pPr>
        <w:rPr/>
      </w:pPr>
      <w:r>
        <w:t>Roll No.: 2501530100037</w:t>
      </w:r>
    </w:p>
    <w:p w:rsidR="00000000" w:rsidDel="00000000" w:rsidP="00000000" w:rsidRDefault="00000000" w:rsidRPr="00000000" w14:paraId="00000037">
      <w:pPr>
        <w:rPr/>
      </w:pPr>
      <w:r>
        <w:t>Date: 28/10/2026</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3A">
      <w:pPr>
        <w:jc w:val="both"/>
        <w:rPr/>
      </w:pPr>
      <w:r>
        <w:rPr>
          <w:rFonts w:ascii="Arial" w:hAnsi="Arial"/>
          <w:b w:val="0"/>
          <w:i w:val="0"/>
          <w:color w:val="000000"/>
          <w:sz w:val="23"/>
        </w:rPr>
        <w:t>I would like to express my deepest gratitude to my esteemed project guide, Mr. Vishal Gupta, Assistant Professor, Department of Computer Science &amp; Engineering, for his invaluable mentorship, rigorous technical feedback, and continuous encouragement throughout the conceptualization, architecture design, and development of this mini project SmartPrep.</w:t>
        <w:br/>
        <w:br/>
        <w:t>I express my profound appreciation to Mr. Vishal Mishra, Project Coordinator, and Dr. Deepika Arora, Head of Department, Department of Computer Science &amp; Engineering, for providing exceptional laboratory facilities, computational resources, and administrative support. I also convey my respectful regards to the Dean Academics and the Management of Lloyd Institute of Engineering &amp; Technology for cultivating an inspiring academic environment.</w:t>
        <w:br/>
        <w:br/>
        <w:t>Finally, I extend my heartfelt gratitude to my family, faculty members, and fellow students for their continuous motivation and assistance during the completion of this work.</w:t>
      </w:r>
    </w:p>
    <w:p w:rsidR="00000000" w:rsidDel="00000000" w:rsidP="00000000" w:rsidRDefault="00000000" w:rsidRPr="00000000" w14:paraId="0000003B">
      <w:pPr>
        <w:jc w:val="both"/>
        <w:rPr/>
      </w:pPr>
      <w:r w:rsidDel="00000000" w:rsidR="00000000" w:rsidRPr="00000000">
        <w:rPr>
          <w:rtl w:val="0"/>
        </w:rPr>
        <w:t xml:space="preserve">I am thankful to </w:t>
      </w:r>
      <w:r w:rsidDel="00000000" w:rsidR="00000000" w:rsidRPr="00000000">
        <w:rPr>
          <w:highlight w:val="yellow"/>
          <w:rtl w:val="0"/>
        </w:rPr>
        <w:t xml:space="preserve">[Coordinator Name]</w:t>
      </w:r>
      <w:r w:rsidDel="00000000" w:rsidR="00000000" w:rsidRPr="00000000">
        <w:rPr>
          <w:rtl w:val="0"/>
        </w:rPr>
        <w:t xml:space="preserve">, Project Coordinator, and </w:t>
      </w:r>
      <w:r w:rsidDel="00000000" w:rsidR="00000000" w:rsidRPr="00000000">
        <w:rPr>
          <w:highlight w:val="yellow"/>
          <w:rtl w:val="0"/>
        </w:rPr>
        <w:t xml:space="preserve">[HOD Name]</w:t>
      </w:r>
      <w:r w:rsidDel="00000000" w:rsidR="00000000" w:rsidRPr="00000000">
        <w:rPr>
          <w:rtl w:val="0"/>
        </w:rPr>
        <w:t xml:space="preserve">, Head of the Department of </w:t>
      </w:r>
      <w:r w:rsidDel="00000000" w:rsidR="00000000" w:rsidRPr="00000000">
        <w:rPr>
          <w:highlight w:val="yellow"/>
          <w:rtl w:val="0"/>
        </w:rPr>
        <w:t xml:space="preserve">[Department Name]</w:t>
      </w:r>
      <w:r w:rsidDel="00000000" w:rsidR="00000000" w:rsidRPr="00000000">
        <w:rPr>
          <w:rtl w:val="0"/>
        </w:rPr>
        <w:t xml:space="preserve">, for providing the necessary facilities and support. I also extend my thanks to </w:t>
      </w:r>
      <w:r w:rsidDel="00000000" w:rsidR="00000000" w:rsidRPr="00000000">
        <w:rPr>
          <w:highlight w:val="yellow"/>
          <w:rtl w:val="0"/>
        </w:rPr>
        <w:t xml:space="preserve">[Dean Name]</w:t>
      </w:r>
      <w:r w:rsidDel="00000000" w:rsidR="00000000" w:rsidRPr="00000000">
        <w:rPr>
          <w:rtl w:val="0"/>
        </w:rPr>
        <w:t xml:space="preserve">, </w:t>
      </w:r>
      <w:r w:rsidDel="00000000" w:rsidR="00000000" w:rsidRPr="00000000">
        <w:rPr>
          <w:highlight w:val="yellow"/>
          <w:rtl w:val="0"/>
        </w:rPr>
        <w:t xml:space="preserve">[Institute Name]</w:t>
      </w:r>
      <w:r w:rsidDel="00000000" w:rsidR="00000000" w:rsidRPr="00000000">
        <w:rPr>
          <w:rtl w:val="0"/>
        </w:rPr>
        <w:t xml:space="preserve">, for providing a conducive academic environment.</w:t>
      </w:r>
    </w:p>
    <w:p w:rsidR="00000000" w:rsidDel="00000000" w:rsidP="00000000" w:rsidRDefault="00000000" w:rsidRPr="00000000" w14:paraId="0000003C">
      <w:pPr>
        <w:jc w:val="both"/>
        <w:rPr/>
      </w:pPr>
      <w:r w:rsidDel="00000000" w:rsidR="00000000" w:rsidRPr="00000000">
        <w:rPr>
          <w:rtl w:val="0"/>
        </w:rPr>
        <w:t xml:space="preserve">Finally, I thank all the faculty members, laboratory staff, my family and friends for their continuous support and motivation during the course of this work.</w:t>
      </w:r>
    </w:p>
    <w:p w:rsidR="00000000" w:rsidDel="00000000" w:rsidP="00000000" w:rsidRDefault="00000000" w:rsidRPr="00000000" w14:paraId="0000003D">
      <w:pPr>
        <w:spacing w:after="0" w:before="0" w:line="240" w:lineRule="auto"/>
        <w:rPr/>
      </w:pPr>
      <w:r w:rsidDel="00000000" w:rsidR="00000000" w:rsidRPr="00000000">
        <w:rPr>
          <w:rtl w:val="0"/>
        </w:rPr>
      </w:r>
    </w:p>
    <w:p w:rsidR="00000000" w:rsidDel="00000000" w:rsidP="00000000" w:rsidRDefault="00000000" w:rsidRPr="00000000" w14:paraId="0000003E">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Arial" w:cs="Times New Roman" w:eastAsia="Times New Roman" w:hAnsi="Arial"/>
          <w:b/>
          <w:bCs w:val="1"/>
          <w:i w:val="0"/>
          <w:iCs w:val="0"/>
          <w:smallCaps w:val="0"/>
          <w:strike w:val="0"/>
          <w:color w:val="0E7490"/>
          <w:sz w:val="28"/>
          <w:szCs w:val="30"/>
          <w:u w:val="none"/>
          <w:shd w:fill="auto" w:val="clear"/>
          <w:vertAlign w:val="baseline"/>
          <w:rtl w:val="0"/>
        </w:rPr>
        <w:t xml:space="preserve">ABSTRACT</w:t>
      </w:r>
      <w:r w:rsidDel="00000000" w:rsidR="00000000" w:rsidRPr="00000000">
        <w:rPr>
          <w:rFonts w:ascii="Arial" w:hAnsi="Arial"/>
          <w:b/>
          <w:i w:val="0"/>
          <w:color w:val="0E7490"/>
          <w:sz w:val="28"/>
          <w:rtl w:val="0"/>
        </w:rPr>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Arial" w:cs="Times New Roman" w:eastAsia="Times New Roman" w:hAnsi="Arial"/>
          <w:b/>
          <w:bCs w:val="1"/>
          <w:i w:val="0"/>
          <w:iCs w:val="0"/>
          <w:smallCaps w:val="0"/>
          <w:strike w:val="0"/>
          <w:color w:val="0E7490"/>
          <w:sz w:val="28"/>
          <w:szCs w:val="30"/>
          <w:u w:val="none"/>
          <w:shd w:fill="auto" w:val="clear"/>
          <w:vertAlign w:val="baseline"/>
          <w:rtl w:val="0"/>
        </w:rPr>
        <w:t xml:space="preserve">TABLE OF CONTENTS</w:t>
      </w:r>
      <w:r w:rsidDel="00000000" w:rsidR="00000000" w:rsidRPr="00000000">
        <w:rPr>
          <w:rFonts w:ascii="Arial" w:hAnsi="Arial"/>
          <w:b/>
          <w:i w:val="0"/>
          <w:color w:val="0E7490"/>
          <w:sz w:val="28"/>
          <w:rtl w:val="0"/>
        </w:rPr>
      </w:r>
    </w:p>
    <w:sdt>
      <w:sdtPr>
        <w:id w:val="-1756891671"/>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w:t>
            <w:tab/>
            <w:t xml:space="preserve">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w:t>
            <w:tab/>
            <w:t xml:space="preserve">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Organisation of the Report</w:t>
            <w:tab/>
            <w:t xml:space="preserve">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 EXISTING SYSTEM</w:t>
            <w:tab/>
            <w:t xml:space="preserve">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Review of Related Work</w:t>
            <w:tab/>
            <w:t xml:space="preserve">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Existing System</w:t>
            <w:tab/>
            <w:t xml:space="preserve">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Gaps Identified</w:t>
            <w:tab/>
            <w:t xml:space="preserve">2</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System</w:t>
            <w:tab/>
            <w:t xml:space="preserve">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DESIGN</w:t>
            <w:tab/>
            <w:t xml:space="preserve">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Analysis</w:t>
            <w:tab/>
            <w:t xml:space="preserve">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Functional Requirements</w:t>
            <w:tab/>
            <w:t xml:space="preserve">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Non-Functional Requirements</w:t>
            <w:tab/>
            <w:t xml:space="preserve">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Hardware and Software Requirements</w:t>
            <w:tab/>
            <w:t xml:space="preserve">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Feasibility Study</w:t>
            <w:tab/>
            <w:t xml:space="preserve">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Technical Feasibility</w:t>
            <w:tab/>
            <w:t xml:space="preserve">3</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Economic Feasibility</w:t>
            <w:tab/>
            <w:t xml:space="preserve">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Operational Feasibility</w:t>
            <w:tab/>
            <w:t xml:space="preserve">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System Architecture</w:t>
            <w:tab/>
            <w:t xml:space="preserve">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Design Diagrams</w:t>
            <w:tab/>
            <w:t xml:space="preserve">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Data Flow Diagram</w:t>
            <w:tab/>
            <w:t xml:space="preserve">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ER / UML Diagrams</w:t>
            <w:tab/>
            <w:t xml:space="preserve">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Technology Stack</w:t>
            <w:tab/>
            <w:t xml:space="preserve">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IMPLEMENTATION</w:t>
            <w:tab/>
            <w:t xml:space="preserve">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Module Description</w:t>
            <w:tab/>
            <w:t xml:space="preserve">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Key Algorithms</w:t>
            <w:tab/>
            <w:t xml:space="preserve">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Code Snippets</w:t>
            <w:tab/>
            <w:t xml:space="preserve">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Screenshots</w:t>
            <w:tab/>
            <w:t xml:space="preserve">5</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TESTING</w:t>
            <w:tab/>
            <w:t xml:space="preserve">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Testing Strategy</w:t>
            <w:tab/>
            <w:t xml:space="preserve">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Test Cases and Test Results</w:t>
            <w:tab/>
            <w:t xml:space="preserve">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Sample Input / Output</w:t>
            <w:tab/>
            <w:t xml:space="preserve">6</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RESULTS AND DISCUSSION</w:t>
            <w:tab/>
            <w:t xml:space="preserve">7</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Output Screenshots</w:t>
            <w:tab/>
            <w:t xml:space="preserve">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 Accuracy Analysis</w:t>
            <w:tab/>
            <w:t xml:space="preserve">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Discussion</w:t>
            <w:tab/>
            <w:t xml:space="preserve">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SCOPE</w:t>
            <w:tab/>
            <w:t xml:space="preserve">8</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Conclusion</w:t>
            <w:tab/>
            <w:t xml:space="preserve">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Limitations</w:t>
            <w:tab/>
            <w:t xml:space="preserve">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Future Scope</w:t>
            <w:tab/>
            <w:t xml:space="preserve">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w:t>
            <w:tab/>
            <w:t xml:space="preserve">10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Source Code</w:t>
            <w:tab/>
            <w:t xml:space="preserve">10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Additional Material</w:t>
            <w:tab/>
            <w:t xml:space="preserve">10</w:t>
          </w:r>
          <w:r w:rsidDel="00000000" w:rsidR="00000000" w:rsidRPr="00000000">
            <w:fldChar w:fldCharType="end"/>
          </w:r>
        </w:p>
      </w:sdtContent>
    </w:sdt>
    <w:p w:rsidR="00000000" w:rsidDel="00000000" w:rsidP="00000000" w:rsidRDefault="00000000" w:rsidRPr="00000000" w14:paraId="00000070">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Arial" w:cs="Times New Roman" w:eastAsia="Times New Roman" w:hAnsi="Arial"/>
          <w:b/>
          <w:bCs w:val="1"/>
          <w:i w:val="0"/>
          <w:iCs w:val="0"/>
          <w:smallCaps w:val="0"/>
          <w:strike w:val="0"/>
          <w:color w:val="0E7490"/>
          <w:sz w:val="28"/>
          <w:szCs w:val="30"/>
          <w:u w:val="none"/>
          <w:shd w:fill="auto" w:val="clear"/>
          <w:vertAlign w:val="baseline"/>
          <w:rtl w:val="0"/>
        </w:rPr>
        <w:t xml:space="preserve">LIST OF FIGURES</w:t>
      </w:r>
      <w:r w:rsidDel="00000000" w:rsidR="00000000" w:rsidRPr="00000000">
        <w:rPr>
          <w:rFonts w:ascii="Arial" w:hAnsi="Arial"/>
          <w:b/>
          <w:i w:val="0"/>
          <w:color w:val="0E7490"/>
          <w:sz w:val="28"/>
          <w:rtl w:val="0"/>
        </w:rPr>
      </w:r>
    </w:p>
    <w:p w:rsidR="00000000" w:rsidDel="00000000" w:rsidP="00000000" w:rsidRDefault="00000000" w:rsidRPr="00000000" w14:paraId="0000007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Arial" w:cs="Times New Roman" w:eastAsia="Times New Roman" w:hAnsi="Arial"/>
          <w:b/>
          <w:bCs w:val="1"/>
          <w:i w:val="0"/>
          <w:iCs w:val="0"/>
          <w:smallCaps w:val="0"/>
          <w:strike w:val="0"/>
          <w:color w:val="0E7490"/>
          <w:sz w:val="28"/>
          <w:szCs w:val="30"/>
          <w:u w:val="none"/>
          <w:shd w:fill="auto" w:val="clear"/>
          <w:vertAlign w:val="baseline"/>
          <w:rtl w:val="0"/>
        </w:rPr>
        <w:t xml:space="preserve">LIST OF TABLES</w:t>
      </w:r>
      <w:r w:rsidDel="00000000" w:rsidR="00000000" w:rsidRPr="00000000">
        <w:rPr>
          <w:rFonts w:ascii="Arial" w:hAnsi="Arial"/>
          <w:b/>
          <w:i w:val="0"/>
          <w:color w:val="0E7490"/>
          <w:sz w:val="28"/>
          <w:rtl w:val="0"/>
        </w:rPr>
      </w:r>
    </w:p>
    <w:p w:rsidR="00000000" w:rsidDel="00000000" w:rsidP="00000000" w:rsidRDefault="00000000" w:rsidRPr="00000000" w14:paraId="00000072">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Arial" w:cs="Times New Roman" w:eastAsia="Times New Roman" w:hAnsi="Arial"/>
          <w:b/>
          <w:bCs w:val="1"/>
          <w:i w:val="0"/>
          <w:iCs w:val="0"/>
          <w:smallCaps w:val="0"/>
          <w:strike w:val="0"/>
          <w:color w:val="0E7490"/>
          <w:sz w:val="28"/>
          <w:szCs w:val="30"/>
          <w:u w:val="none"/>
          <w:shd w:fill="auto" w:val="clear"/>
          <w:vertAlign w:val="baseline"/>
          <w:rtl w:val="0"/>
        </w:rPr>
        <w:t xml:space="preserve">LIST OF ABBREVIATIONS </w:t>
      </w:r>
      <w:r w:rsidDel="00000000" w:rsidR="00000000" w:rsidRPr="00000000">
        <w:rPr>
          <w:rFonts w:ascii="Arial" w:hAnsi="Arial"/>
          <w:b/>
          <w:i w:val="0"/>
          <w:color w:val="0E7490"/>
          <w:sz w:val="28"/>
          <w:rtl w:val="0"/>
        </w:rPr>
      </w:r>
    </w:p>
    <w:tbl>
      <w:tblPr>
        <w:tblStyle w:val="Table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106"/>
        <w:tblGridChange w:id="0">
          <w:tblGrid>
            <w:gridCol w:w="2200"/>
            <w:gridCol w:w="610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Abbreviation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Full Form</w:t>
            </w:r>
            <w:r w:rsidDel="00000000" w:rsidR="00000000" w:rsidRPr="00000000">
              <w:rPr>
                <w:rtl w:val="0"/>
              </w:rPr>
            </w:r>
          </w:p>
        </w:tc>
      </w:tr>
      <w:tr>
        <w:tc>
          <w:tcPr>
            <w:tcW w:type="dxa" w:w="2200"/>
          </w:tcPr>
          <w:p>
            <w:r>
              <w:t>API</w:t>
            </w:r>
          </w:p>
        </w:tc>
        <w:tc>
          <w:tcPr>
            <w:tcW w:type="dxa" w:w="6106"/>
          </w:tcPr>
          <w:p>
            <w:r>
              <w:t>Application Programming Interface</w:t>
            </w:r>
          </w:p>
        </w:tc>
      </w:tr>
      <w:tr>
        <w:tc>
          <w:tcPr>
            <w:tcW w:type="dxa" w:w="2200"/>
          </w:tcPr>
          <w:p>
            <w:r>
              <w:t>DFD</w:t>
            </w:r>
          </w:p>
        </w:tc>
        <w:tc>
          <w:tcPr>
            <w:tcW w:type="dxa" w:w="6106"/>
          </w:tcPr>
          <w:p>
            <w:r>
              <w:t>Data Flow Diagram</w:t>
            </w:r>
          </w:p>
        </w:tc>
      </w:tr>
      <w:tr>
        <w:tc>
          <w:tcPr>
            <w:tcW w:type="dxa" w:w="2200"/>
          </w:tcPr>
          <w:p>
            <w:r>
              <w:t>SPA</w:t>
            </w:r>
          </w:p>
        </w:tc>
        <w:tc>
          <w:tcPr>
            <w:tcW w:type="dxa" w:w="6106"/>
          </w:tcPr>
          <w:p>
            <w:r>
              <w:t>Single Page Application</w:t>
            </w:r>
          </w:p>
        </w:tc>
      </w:tr>
      <w:tr>
        <w:tc>
          <w:tcPr>
            <w:tcW w:type="dxa" w:w="2200"/>
          </w:tcPr>
          <w:p>
            <w:r>
              <w:t>HMR</w:t>
            </w:r>
          </w:p>
        </w:tc>
        <w:tc>
          <w:tcPr>
            <w:tcW w:type="dxa" w:w="6106"/>
          </w:tcPr>
          <w:p>
            <w:r>
              <w:t>Hot Module Replacement</w:t>
            </w:r>
          </w:p>
        </w:tc>
      </w:tr>
      <w:tr>
        <w:tc>
          <w:tcPr>
            <w:tcW w:type="dxa" w:w="2200"/>
          </w:tcPr>
          <w:p>
            <w:r>
              <w:t>DAG</w:t>
            </w:r>
          </w:p>
        </w:tc>
        <w:tc>
          <w:tcPr>
            <w:tcW w:type="dxa" w:w="6106"/>
          </w:tcPr>
          <w:p>
            <w:r>
              <w:t>Directed Acyclic Graph</w:t>
            </w:r>
          </w:p>
        </w:tc>
      </w:tr>
      <w:tr>
        <w:tc>
          <w:tcPr>
            <w:tcW w:type="dxa" w:w="2200"/>
          </w:tcPr>
          <w:p>
            <w:r>
              <w:t>DOM</w:t>
            </w:r>
          </w:p>
        </w:tc>
        <w:tc>
          <w:tcPr>
            <w:tcW w:type="dxa" w:w="6106"/>
          </w:tcPr>
          <w:p>
            <w:r>
              <w:t>Document Object Model</w:t>
            </w:r>
          </w:p>
        </w:tc>
      </w:tr>
      <w:tr>
        <w:tc>
          <w:tcPr>
            <w:tcW w:type="dxa" w:w="2200"/>
          </w:tcPr>
          <w:p>
            <w:r>
              <w:t>CSE</w:t>
            </w:r>
          </w:p>
        </w:tc>
        <w:tc>
          <w:tcPr>
            <w:tcW w:type="dxa" w:w="6106"/>
          </w:tcPr>
          <w:p>
            <w:r>
              <w:t>Computer Science and Engineering</w:t>
            </w:r>
          </w:p>
        </w:tc>
      </w:tr>
      <w:tr>
        <w:tc>
          <w:tcPr>
            <w:tcW w:type="dxa" w:w="2200"/>
          </w:tcPr>
          <w:p>
            <w:r>
              <w:t>AI</w:t>
            </w:r>
          </w:p>
        </w:tc>
        <w:tc>
          <w:tcPr>
            <w:tcW w:type="dxa" w:w="6106"/>
          </w:tcPr>
          <w:p>
            <w:r>
              <w:t>Artificial Intelligence</w:t>
            </w:r>
          </w:p>
        </w:tc>
      </w:tr>
      <w:tr>
        <w:tc>
          <w:tcPr>
            <w:tcW w:type="dxa" w:w="2200"/>
          </w:tcPr>
          <w:p>
            <w:r>
              <w:t>ML</w:t>
            </w:r>
          </w:p>
        </w:tc>
        <w:tc>
          <w:tcPr>
            <w:tcW w:type="dxa" w:w="6106"/>
          </w:tcPr>
          <w:p>
            <w:r>
              <w:t>Machine Learning</w:t>
            </w:r>
          </w:p>
        </w:tc>
      </w:tr>
      <w:tr>
        <w:tc>
          <w:tcPr>
            <w:tcW w:type="dxa" w:w="2200"/>
          </w:tcPr>
          <w:p>
            <w:r>
              <w:t>DSA</w:t>
            </w:r>
          </w:p>
        </w:tc>
        <w:tc>
          <w:tcPr>
            <w:tcW w:type="dxa" w:w="6106"/>
          </w:tcPr>
          <w:p>
            <w:r>
              <w:t>Data Structures and Algorithms</w:t>
            </w:r>
          </w:p>
        </w:tc>
      </w:tr>
      <w:tr>
        <w:tc>
          <w:tcPr>
            <w:tcW w:type="dxa" w:w="2200"/>
          </w:tcPr>
          <w:p>
            <w:r>
              <w:t>OOP</w:t>
            </w:r>
          </w:p>
        </w:tc>
        <w:tc>
          <w:tcPr>
            <w:tcW w:type="dxa" w:w="6106"/>
          </w:tcPr>
          <w:p>
            <w:r>
              <w:t>Object-Oriented Programming</w:t>
            </w:r>
          </w:p>
        </w:tc>
      </w:tr>
      <w:tr>
        <w:tc>
          <w:tcPr>
            <w:tcW w:type="dxa" w:w="2200"/>
          </w:tcPr>
          <w:p>
            <w:r>
              <w:t>JWT</w:t>
            </w:r>
          </w:p>
        </w:tc>
        <w:tc>
          <w:tcPr>
            <w:tcW w:type="dxa" w:w="6106"/>
          </w:tcPr>
          <w:p>
            <w:r>
              <w:t>JSON Web Token</w:t>
            </w:r>
          </w:p>
        </w:tc>
      </w:tr>
      <w:tr>
        <w:tc>
          <w:tcPr>
            <w:tcW w:type="dxa" w:w="2200"/>
          </w:tcPr>
          <w:p>
            <w:r>
              <w:t>REST</w:t>
            </w:r>
          </w:p>
        </w:tc>
        <w:tc>
          <w:tcPr>
            <w:tcW w:type="dxa" w:w="6106"/>
          </w:tcPr>
          <w:p>
            <w:r>
              <w:t>Representational State Transfer</w:t>
            </w:r>
          </w:p>
        </w:tc>
      </w:tr>
      <w:tr>
        <w:tc>
          <w:tcPr>
            <w:tcW w:type="dxa" w:w="2200"/>
          </w:tcPr>
          <w:p>
            <w:r>
              <w:t>JVM</w:t>
            </w:r>
          </w:p>
        </w:tc>
        <w:tc>
          <w:tcPr>
            <w:tcW w:type="dxa" w:w="6106"/>
          </w:tcPr>
          <w:p>
            <w:r>
              <w:t>Java Virtual Machine</w:t>
            </w:r>
          </w:p>
        </w:tc>
      </w:tr>
      <w:tr>
        <w:tc>
          <w:tcPr>
            <w:tcW w:type="dxa" w:w="2200"/>
          </w:tcPr>
          <w:p>
            <w:r>
              <w:t>CSS</w:t>
            </w:r>
          </w:p>
        </w:tc>
        <w:tc>
          <w:tcPr>
            <w:tcW w:type="dxa" w:w="6106"/>
          </w:tcPr>
          <w:p>
            <w:r>
              <w:t>Cascading Style Sheets</w:t>
            </w:r>
          </w:p>
        </w:tc>
      </w:tr>
      <w:tr>
        <w:tc>
          <w:tcPr>
            <w:tcW w:type="dxa" w:w="2200"/>
          </w:tcPr>
          <w:p>
            <w:r>
              <w:t>UI / UX</w:t>
            </w:r>
          </w:p>
        </w:tc>
        <w:tc>
          <w:tcPr>
            <w:tcW w:type="dxa" w:w="6106"/>
          </w:tcPr>
          <w:p>
            <w:r>
              <w:t>User Interface / User Experience</w:t>
            </w:r>
          </w:p>
        </w:tc>
      </w:tr>
    </w:tbl>
    <w:p w:rsidR="00000000" w:rsidDel="00000000" w:rsidP="00000000" w:rsidRDefault="00000000" w:rsidRPr="00000000" w14:paraId="0000007F">
      <w:pPr>
        <w:rPr/>
        <w:sectPr>
          <w:headerReference r:id="rId8" w:type="default"/>
          <w:headerReference r:id="rId9" w:type="first"/>
          <w:footerReference r:id="rId10" w:type="default"/>
          <w:footerReference r:id="rId11" w:type="first"/>
          <w:pgSz w:h="16838" w:w="11906" w:orient="portrait"/>
          <w:pgMar w:bottom="1440" w:top="1440" w:left="2160" w:right="1440" w:header="720" w:footer="600"/>
          <w:pgNumType w:start="0"/>
          <w:titlePg w:val="1"/>
        </w:sectPr>
      </w:pPr>
      <w:r w:rsidDel="00000000" w:rsidR="00000000" w:rsidRPr="00000000">
        <w:rPr>
          <w:rtl w:val="0"/>
        </w:rPr>
      </w:r>
    </w:p>
    <w:p>
      <w:pPr>
        <w:pStyle w:val="Heading1"/>
        <w:keepNext/>
        <w:spacing w:before="320" w:after="160"/>
      </w:pPr>
      <w:r>
        <w:rPr>
          <w:rFonts w:ascii="Arial" w:hAnsi="Arial"/>
          <w:b/>
          <w:i w:val="0"/>
          <w:color w:val="0E7490"/>
          <w:sz w:val="30"/>
        </w:rPr>
        <w:t>CHAPTER 1: INTRODUCTION</w:t>
      </w:r>
    </w:p>
    <w:p>
      <w:pPr>
        <w:pStyle w:val="Heading2"/>
        <w:keepNext/>
        <w:spacing w:before="240" w:after="120"/>
      </w:pPr>
      <w:r>
        <w:rPr>
          <w:rFonts w:ascii="Arial" w:hAnsi="Arial"/>
          <w:b/>
          <w:i w:val="0"/>
          <w:color w:val="1E293B"/>
          <w:sz w:val="26"/>
        </w:rPr>
        <w:t>1.1 Background and Motivation</w:t>
      </w:r>
    </w:p>
    <w:p>
      <w:pPr>
        <w:spacing w:before="0" w:after="120" w:line="276" w:lineRule="auto"/>
        <w:jc w:val="both"/>
      </w:pPr>
      <w:r>
        <w:rPr>
          <w:rFonts w:ascii="Arial" w:hAnsi="Arial"/>
          <w:b w:val="0"/>
          <w:i w:val="0"/>
          <w:color w:val="0F172A"/>
          <w:sz w:val="22"/>
        </w:rPr>
        <w:t>In the contemporary landscape of Computer Science and Engineering (CSE) education, undergraduate students face an unprecedented avalanche of learning materials, online courses, tutorials, and competitive programming repositories. While resources such as YouTube, freeCodeCamp, GeeksforGeeks, and documentation sites provide boundless information, they operate predominantly in silos. There is a glaring absence of a structured, prerequisite-governed framework that guides students step-by-step from core syntax to production-grade engineering concepts.</w:t>
      </w:r>
    </w:p>
    <w:p>
      <w:pPr>
        <w:spacing w:before="0" w:after="120" w:line="276" w:lineRule="auto"/>
        <w:jc w:val="both"/>
      </w:pPr>
      <w:r>
        <w:rPr>
          <w:rFonts w:ascii="Arial" w:hAnsi="Arial"/>
          <w:b w:val="0"/>
          <w:i w:val="0"/>
          <w:color w:val="0F172A"/>
          <w:sz w:val="22"/>
        </w:rPr>
        <w:t>Consequently, students often fall into what is pedagogically termed the 'Prerequisite Trap'—attempting advanced topics such as Spring Boot, Distributed Systems, or Dynamic Programming before attaining verified mastery in fundamental concepts like Object-Oriented Design, Memory Models, or Basic Recursion. This results in high rates of frustration, cognitive burnout, and superficial learning. SmartPrep was conceived to solve this fundamental educational crisis by engineering an interactive, prerequisite-driven 'Career Operating System' tailored specifically for B.Tech CSE students.</w:t>
      </w:r>
    </w:p>
    <w:p>
      <w:pPr>
        <w:pStyle w:val="Heading2"/>
        <w:keepNext/>
        <w:spacing w:before="240" w:after="120"/>
      </w:pPr>
      <w:r>
        <w:rPr>
          <w:rFonts w:ascii="Arial" w:hAnsi="Arial"/>
          <w:b/>
          <w:i w:val="0"/>
          <w:color w:val="1E293B"/>
          <w:sz w:val="26"/>
        </w:rPr>
        <w:t>1.2 Problem Statement</w:t>
      </w:r>
    </w:p>
    <w:p>
      <w:pPr>
        <w:spacing w:before="0" w:after="120" w:line="276" w:lineRule="auto"/>
        <w:jc w:val="both"/>
      </w:pPr>
      <w:r>
        <w:rPr>
          <w:rFonts w:ascii="Arial" w:hAnsi="Arial"/>
          <w:b w:val="0"/>
          <w:i w:val="0"/>
          <w:color w:val="0F172A"/>
          <w:sz w:val="22"/>
        </w:rPr>
        <w:t>The key challenges addressed by the SmartPrep project are summarized as follows: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Curriculum Fragmentation: </w:t>
      </w:r>
      <w:r>
        <w:rPr>
          <w:rFonts w:ascii="Arial" w:hAnsi="Arial"/>
          <w:b w:val="0"/>
          <w:i w:val="0"/>
          <w:color w:val="0F172A"/>
          <w:sz w:val="22"/>
        </w:rPr>
        <w:t>Learning resources are scattered across various platforms without unified progress tracking or prerequisite sequencing.</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Absence of Prerequisite Enforcement: </w:t>
      </w:r>
      <w:r>
        <w:rPr>
          <w:rFonts w:ascii="Arial" w:hAnsi="Arial"/>
          <w:b w:val="0"/>
          <w:i w:val="0"/>
          <w:color w:val="0F172A"/>
          <w:sz w:val="22"/>
        </w:rPr>
        <w:t>Existing roadmap platforms offer static diagrams without automated validation that locks advanced stages until foundational competencies are proven.</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Rigid, One-Size-Fits-All Pacing: </w:t>
      </w:r>
      <w:r>
        <w:rPr>
          <w:rFonts w:ascii="Arial" w:hAnsi="Arial"/>
          <w:b w:val="0"/>
          <w:i w:val="0"/>
          <w:color w:val="0F172A"/>
          <w:sz w:val="22"/>
        </w:rPr>
        <w:t>Standard course formats lack dynamic recovery scheduling. When students experience lapses due to exams or personal commitments, they struggle to realign without getting overwhelmed.</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Lack of Integrated Diagnostic Feedback: </w:t>
      </w:r>
      <w:r>
        <w:rPr>
          <w:rFonts w:ascii="Arial" w:hAnsi="Arial"/>
          <w:b w:val="0"/>
          <w:i w:val="0"/>
          <w:color w:val="0F172A"/>
          <w:sz w:val="22"/>
        </w:rPr>
        <w:t>Traditional study workflows do not diagnose specific conceptual errors (such as off-by-one errors in binary search or stack limits in recursion) at the moment of study.</w:t>
      </w:r>
    </w:p>
    <w:p>
      <w:pPr>
        <w:pStyle w:val="Heading2"/>
        <w:keepNext/>
        <w:spacing w:before="240" w:after="120"/>
      </w:pPr>
      <w:r>
        <w:rPr>
          <w:rFonts w:ascii="Arial" w:hAnsi="Arial"/>
          <w:b/>
          <w:i w:val="0"/>
          <w:color w:val="1E293B"/>
          <w:sz w:val="26"/>
        </w:rPr>
        <w:t>1.3 Objectives of the Project</w:t>
      </w:r>
    </w:p>
    <w:p>
      <w:pPr>
        <w:spacing w:before="0" w:after="120" w:line="276" w:lineRule="auto"/>
        <w:jc w:val="both"/>
      </w:pPr>
      <w:r>
        <w:rPr>
          <w:rFonts w:ascii="Arial" w:hAnsi="Arial"/>
          <w:b w:val="0"/>
          <w:i w:val="0"/>
          <w:color w:val="0F172A"/>
          <w:sz w:val="22"/>
        </w:rPr>
        <w:t>The central engineering objectives accomplished in SmartPrep include:</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Objective 1 — Multi-Path Curricular Modeling: </w:t>
      </w:r>
      <w:r>
        <w:rPr>
          <w:rFonts w:ascii="Arial" w:hAnsi="Arial"/>
          <w:b w:val="0"/>
          <w:i w:val="0"/>
          <w:color w:val="0F172A"/>
          <w:sz w:val="22"/>
        </w:rPr>
        <w:t>Architect structured, verified roadmaps across six prime engineering tracks (Backend Development, Full Stack Development, AI/ML Engineering, Data Engineering, Android Development, and Campus Placement Prep).</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Objective 2 — Dynamic Prerequisite State Machine: </w:t>
      </w:r>
      <w:r>
        <w:rPr>
          <w:rFonts w:ascii="Arial" w:hAnsi="Arial"/>
          <w:b w:val="0"/>
          <w:i w:val="0"/>
          <w:color w:val="0F172A"/>
          <w:sz w:val="22"/>
        </w:rPr>
        <w:t>Design and implement a Directed Acyclic Graph (DAG) state machine that dynamically derives stage status (Completed, Current, Upcoming, Locked) and prevents premature progression.</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Objective 3 — Context-Aware Local AI Kernel: </w:t>
      </w:r>
      <w:r>
        <w:rPr>
          <w:rFonts w:ascii="Arial" w:hAnsi="Arial"/>
          <w:b w:val="0"/>
          <w:i w:val="0"/>
          <w:color w:val="0F172A"/>
          <w:sz w:val="22"/>
        </w:rPr>
        <w:t>Engineer a deterministic, zero-latency local heuristic AI assistant capable of evaluating student velocity, logged study time, and knowledge gaps to synthesize daily directives and 3-day recovery pipelines.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Objective 4 — Interactive Diagnostic Testing &amp; Audio Feedback: </w:t>
      </w:r>
      <w:r>
        <w:rPr>
          <w:rFonts w:ascii="Arial" w:hAnsi="Arial"/>
          <w:b w:val="0"/>
          <w:i w:val="0"/>
          <w:color w:val="0F172A"/>
          <w:sz w:val="22"/>
        </w:rPr>
        <w:t>Integrate conceptual diagnostic assessments with synthesized Web Audio API feedback and positive visual reinforcement (confetti animations).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Objective 5 — Production-Ready Client Deployment: </w:t>
      </w:r>
      <w:r>
        <w:rPr>
          <w:rFonts w:ascii="Arial" w:hAnsi="Arial"/>
          <w:b w:val="0"/>
          <w:i w:val="0"/>
          <w:color w:val="0F172A"/>
          <w:sz w:val="22"/>
        </w:rPr>
        <w:t>Build an offline-capable, responsive Single Page Application (SPA) leveraging React 19, Vite 8, and Tailwind CSS v4, optimized for deployment on Vercel, Railway, and GitHub Pages.</w:t>
      </w:r>
    </w:p>
    <w:p>
      <w:pPr>
        <w:pStyle w:val="Heading2"/>
        <w:keepNext/>
        <w:spacing w:before="240" w:after="120"/>
      </w:pPr>
      <w:r>
        <w:rPr>
          <w:rFonts w:ascii="Arial" w:hAnsi="Arial"/>
          <w:b/>
          <w:i w:val="0"/>
          <w:color w:val="1E293B"/>
          <w:sz w:val="26"/>
        </w:rPr>
        <w:t>1.4 Scope and Limitations</w:t>
      </w:r>
    </w:p>
    <w:p>
      <w:pPr>
        <w:spacing w:before="0" w:after="120" w:line="276" w:lineRule="auto"/>
        <w:jc w:val="both"/>
      </w:pPr>
      <w:r>
        <w:rPr>
          <w:rFonts w:ascii="Arial" w:hAnsi="Arial"/>
          <w:b w:val="0"/>
          <w:i w:val="0"/>
          <w:color w:val="0F172A"/>
          <w:sz w:val="22"/>
        </w:rPr>
        <w:t>SmartPrep focuses primarily on the self-paced learning and career preparation lifecycle of undergraduate CSE students. The current prototype runs entirely client-side without recurring backend infrastructure costs, utilizing browser LocalStorage for persistent state. While it features simulated AI guidance rather than high-cost generative LLM API calls, it provides instant, zero-latency educational feedback.</w:t>
      </w:r>
    </w:p>
    <w:p>
      <w:pPr>
        <w:pStyle w:val="Heading2"/>
        <w:keepNext/>
        <w:spacing w:before="240" w:after="120"/>
      </w:pPr>
      <w:r>
        <w:rPr>
          <w:rFonts w:ascii="Arial" w:hAnsi="Arial"/>
          <w:b/>
          <w:i w:val="0"/>
          <w:color w:val="1E293B"/>
          <w:sz w:val="26"/>
        </w:rPr>
        <w:t>1.5 Organization of the Report</w:t>
      </w:r>
    </w:p>
    <w:p>
      <w:pPr>
        <w:spacing w:before="0" w:after="120" w:line="276" w:lineRule="auto"/>
        <w:jc w:val="both"/>
      </w:pPr>
      <w:r>
        <w:rPr>
          <w:rFonts w:ascii="Arial" w:hAnsi="Arial"/>
          <w:b w:val="0"/>
          <w:i w:val="0"/>
          <w:color w:val="0F172A"/>
          <w:sz w:val="22"/>
        </w:rPr>
        <w:t>The remainder of this report is organized as follows: Chapter 2 reviews existing systems and literature; Chapter 3 discusses system analysis, feasibility, and software architecture; Chapter 4 provides in-depth implementation details and code structures; Chapter 5 presents comprehensive test cases and validation matrices; Chapter 6 analyzes experimental results and performance benchmarks; Chapter 7 concludes the report with future scope, followed by References and Appendix.</w:t>
      </w:r>
    </w:p>
    <w:p>
      <w:pPr>
        <w:pStyle w:val="Heading1"/>
        <w:keepNext/>
        <w:spacing w:before="320" w:after="160"/>
      </w:pPr>
      <w:r>
        <w:rPr>
          <w:rFonts w:ascii="Arial" w:hAnsi="Arial"/>
          <w:b/>
          <w:i w:val="0"/>
          <w:color w:val="0E7490"/>
          <w:sz w:val="30"/>
        </w:rPr>
        <w:t>CHAPTER 2: LITERATURE REVIEW / EXISTING SYSTEM</w:t>
      </w:r>
    </w:p>
    <w:p>
      <w:pPr>
        <w:pStyle w:val="Heading2"/>
        <w:keepNext/>
        <w:spacing w:before="240" w:after="120"/>
      </w:pPr>
      <w:r>
        <w:rPr>
          <w:rFonts w:ascii="Arial" w:hAnsi="Arial"/>
          <w:b/>
          <w:i w:val="0"/>
          <w:color w:val="1E293B"/>
          <w:sz w:val="26"/>
        </w:rPr>
        <w:t>2.1 Overview of Current Learning Platforms</w:t>
      </w:r>
    </w:p>
    <w:p>
      <w:pPr>
        <w:spacing w:before="0" w:after="120" w:line="276" w:lineRule="auto"/>
        <w:jc w:val="both"/>
      </w:pPr>
      <w:r>
        <w:rPr>
          <w:rFonts w:ascii="Arial" w:hAnsi="Arial"/>
          <w:b w:val="0"/>
          <w:i w:val="0"/>
          <w:color w:val="0F172A"/>
          <w:sz w:val="22"/>
        </w:rPr>
        <w:t>A thorough analysis of existing online educational platforms reveals four dominant archetypes: Massive Open Online Courses (MOOCs), Video Content Libraries, Static Roadmap Repositories, and Competitive Coding Judges.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MOOC Platforms (Coursera, edX): </w:t>
      </w:r>
      <w:r>
        <w:rPr>
          <w:rFonts w:ascii="Arial" w:hAnsi="Arial"/>
          <w:b w:val="0"/>
          <w:i w:val="0"/>
          <w:color w:val="0F172A"/>
          <w:sz w:val="22"/>
        </w:rPr>
        <w:t>Deliver structured academic courses but enforce rigid week-by-week deadlines and require substantial financial subscriptions for grading and verification.</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Static Roadmap Portals (Roadmap.sh): </w:t>
      </w:r>
      <w:r>
        <w:rPr>
          <w:rFonts w:ascii="Arial" w:hAnsi="Arial"/>
          <w:b w:val="0"/>
          <w:i w:val="0"/>
          <w:color w:val="0F172A"/>
          <w:sz w:val="22"/>
        </w:rPr>
        <w:t>Provide comprehensive visual trees of career skills. However, they are completely passive static diagrams with no execution engine, diagnostic testing, or dynamic prerequisite gating.</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Competitive Programming Judges (LeetCode, HackerRank): </w:t>
      </w:r>
      <w:r>
        <w:rPr>
          <w:rFonts w:ascii="Arial" w:hAnsi="Arial"/>
          <w:b w:val="0"/>
          <w:i w:val="0"/>
          <w:color w:val="0F172A"/>
          <w:sz w:val="22"/>
        </w:rPr>
        <w:t>Excel in problem evaluation but assume prerequisite knowledge. They offer no curriculum sequencing for foundational syntax, architecture design, or interview behavioral pacing.</w:t>
      </w:r>
    </w:p>
    <w:p>
      <w:pPr>
        <w:pStyle w:val="Heading2"/>
        <w:keepNext/>
        <w:spacing w:before="240" w:after="120"/>
      </w:pPr>
      <w:r>
        <w:rPr>
          <w:rFonts w:ascii="Arial" w:hAnsi="Arial"/>
          <w:b/>
          <w:i w:val="0"/>
          <w:color w:val="1E293B"/>
          <w:sz w:val="26"/>
        </w:rPr>
        <w:t>2.2 Critical Gaps in Existing Platforms</w:t>
      </w:r>
    </w:p>
    <w:p>
      <w:pPr>
        <w:spacing w:before="0" w:after="120" w:line="276" w:lineRule="auto"/>
        <w:jc w:val="both"/>
      </w:pPr>
      <w:r>
        <w:rPr>
          <w:rFonts w:ascii="Arial" w:hAnsi="Arial"/>
          <w:b w:val="0"/>
          <w:i w:val="0"/>
          <w:color w:val="0F172A"/>
          <w:sz w:val="22"/>
        </w:rPr>
        <w:t>Existing solutions lack an interconnected pedagogical bridge between theoretical roadmaps, active coding practice, and diagnostic self-regulation. When a student fails a problem on LeetCode, the platform does not redirect them to the prerequisite theoretical node (e.g., Recursion stack depth). Furthermore, none of the static roadmap tools adapt dynamically when a student misses study targets.</w:t>
      </w:r>
    </w:p>
    <w:p>
      <w:pPr>
        <w:pStyle w:val="Heading2"/>
        <w:keepNext/>
        <w:spacing w:before="240" w:after="120"/>
      </w:pPr>
      <w:r>
        <w:rPr>
          <w:rFonts w:ascii="Arial" w:hAnsi="Arial"/>
          <w:b/>
          <w:i w:val="0"/>
          <w:color w:val="1E293B"/>
          <w:sz w:val="26"/>
        </w:rPr>
        <w:t>2.3 Proposed Solution &amp; Innovation in SmartPrep</w:t>
      </w:r>
    </w:p>
    <w:p>
      <w:pPr>
        <w:spacing w:before="0" w:after="120" w:line="276" w:lineRule="auto"/>
        <w:jc w:val="both"/>
      </w:pPr>
      <w:r>
        <w:rPr>
          <w:rFonts w:ascii="Arial" w:hAnsi="Arial"/>
          <w:b w:val="0"/>
          <w:i w:val="0"/>
          <w:color w:val="0F172A"/>
          <w:sz w:val="22"/>
        </w:rPr>
        <w:t>SmartPrep overcomes these limitations by combining prerequisite state gating, active diagnostic quizzes, and an intelligent context-aware study assistant within a single unified workspace. By executing completely in the browser, SmartPrep ensures instantaneous page transitions (&lt;15ms) and total accessibility without cloud dependencies.</w:t>
      </w:r>
    </w:p>
    <w:p>
      <w:pPr>
        <w:pStyle w:val="Heading3"/>
        <w:keepNext/>
        <w:spacing w:before="160" w:after="80"/>
      </w:pPr>
      <w:r>
        <w:rPr>
          <w:rFonts w:ascii="Arial" w:hAnsi="Arial"/>
          <w:b/>
          <w:i w:val="0"/>
          <w:color w:val="334155"/>
          <w:sz w:val="23"/>
        </w:rPr>
        <w:t>Table 2.1: Comparative Feature Analysis of SmartPrep vs Existing Platforms</w:t>
      </w:r>
    </w:p>
    <w:tbl>
      <w:tblPr>
        <w:tblW w:type="auto" w:w="0"/>
        <w:jc w:val="center"/>
        <w:tblLook w:firstColumn="1" w:firstRow="1" w:lastColumn="0" w:lastRow="0" w:noHBand="0" w:noVBand="1" w:val="04A0"/>
      </w:tblPr>
      <w:tblGrid>
        <w:gridCol w:w="1661"/>
        <w:gridCol w:w="1661"/>
        <w:gridCol w:w="1661"/>
        <w:gridCol w:w="1661"/>
        <w:gridCol w:w="1661"/>
      </w:tblGrid>
      <w:tr>
        <w:tc>
          <w:tcPr>
            <w:tcW w:type="dxa" w:w="1661"/>
            <w:shd w:fill="0F172A"/>
          </w:tcPr>
          <w:p>
            <w:pPr>
              <w:jc w:val="center"/>
            </w:pPr>
            <w:r>
              <w:rPr>
                <w:rFonts w:ascii="Arial" w:hAnsi="Arial"/>
                <w:b/>
                <w:i w:val="0"/>
                <w:color w:val="FFFFFF"/>
                <w:sz w:val="19"/>
              </w:rPr>
              <w:t>Feature Dimension</w:t>
            </w:r>
          </w:p>
        </w:tc>
        <w:tc>
          <w:tcPr>
            <w:tcW w:type="dxa" w:w="1661"/>
            <w:shd w:fill="0F172A"/>
          </w:tcPr>
          <w:p>
            <w:pPr>
              <w:jc w:val="center"/>
            </w:pPr>
            <w:r>
              <w:rPr>
                <w:rFonts w:ascii="Arial" w:hAnsi="Arial"/>
                <w:b/>
                <w:i w:val="0"/>
                <w:color w:val="FFFFFF"/>
                <w:sz w:val="19"/>
              </w:rPr>
              <w:t>Coursera / edX</w:t>
            </w:r>
          </w:p>
        </w:tc>
        <w:tc>
          <w:tcPr>
            <w:tcW w:type="dxa" w:w="1661"/>
            <w:shd w:fill="0F172A"/>
          </w:tcPr>
          <w:p>
            <w:pPr>
              <w:jc w:val="center"/>
            </w:pPr>
            <w:r>
              <w:rPr>
                <w:rFonts w:ascii="Arial" w:hAnsi="Arial"/>
                <w:b/>
                <w:i w:val="0"/>
                <w:color w:val="FFFFFF"/>
                <w:sz w:val="19"/>
              </w:rPr>
              <w:t>Roadmap.sh</w:t>
            </w:r>
          </w:p>
        </w:tc>
        <w:tc>
          <w:tcPr>
            <w:tcW w:type="dxa" w:w="1661"/>
            <w:shd w:fill="0F172A"/>
          </w:tcPr>
          <w:p>
            <w:pPr>
              <w:jc w:val="center"/>
            </w:pPr>
            <w:r>
              <w:rPr>
                <w:rFonts w:ascii="Arial" w:hAnsi="Arial"/>
                <w:b/>
                <w:i w:val="0"/>
                <w:color w:val="FFFFFF"/>
                <w:sz w:val="19"/>
              </w:rPr>
              <w:t>LeetCode</w:t>
            </w:r>
          </w:p>
        </w:tc>
        <w:tc>
          <w:tcPr>
            <w:tcW w:type="dxa" w:w="1661"/>
            <w:shd w:fill="0F172A"/>
          </w:tcPr>
          <w:p>
            <w:pPr>
              <w:jc w:val="center"/>
            </w:pPr>
            <w:r>
              <w:rPr>
                <w:rFonts w:ascii="Arial" w:hAnsi="Arial"/>
                <w:b/>
                <w:i w:val="0"/>
                <w:color w:val="FFFFFF"/>
                <w:sz w:val="19"/>
              </w:rPr>
              <w:t>SmartPrep (Proposed)</w:t>
            </w:r>
          </w:p>
        </w:tc>
      </w:tr>
      <w:tr>
        <w:tc>
          <w:tcPr>
            <w:tcW w:type="dxa" w:w="1661"/>
          </w:tcPr>
          <w:p>
            <w:r>
              <w:rPr>
                <w:rFonts w:ascii="Arial" w:hAnsi="Arial"/>
                <w:b w:val="0"/>
                <w:i w:val="0"/>
                <w:color w:val="0F172A"/>
                <w:sz w:val="18"/>
              </w:rPr>
              <w:t>Prerequisite Enforcement</w:t>
            </w:r>
          </w:p>
        </w:tc>
        <w:tc>
          <w:tcPr>
            <w:tcW w:type="dxa" w:w="1661"/>
          </w:tcPr>
          <w:p>
            <w:r>
              <w:rPr>
                <w:rFonts w:ascii="Arial" w:hAnsi="Arial"/>
                <w:b w:val="0"/>
                <w:i w:val="0"/>
                <w:color w:val="0F172A"/>
                <w:sz w:val="18"/>
              </w:rPr>
              <w:t>Linear (Time-Gated)</w:t>
            </w:r>
          </w:p>
        </w:tc>
        <w:tc>
          <w:tcPr>
            <w:tcW w:type="dxa" w:w="1661"/>
          </w:tcPr>
          <w:p>
            <w:r>
              <w:rPr>
                <w:rFonts w:ascii="Arial" w:hAnsi="Arial"/>
                <w:b w:val="0"/>
                <w:i w:val="0"/>
                <w:color w:val="0F172A"/>
                <w:sz w:val="18"/>
              </w:rPr>
              <w:t>None (Static Diagram)</w:t>
            </w:r>
          </w:p>
        </w:tc>
        <w:tc>
          <w:tcPr>
            <w:tcW w:type="dxa" w:w="1661"/>
          </w:tcPr>
          <w:p>
            <w:r>
              <w:rPr>
                <w:rFonts w:ascii="Arial" w:hAnsi="Arial"/>
                <w:b w:val="0"/>
                <w:i w:val="0"/>
                <w:color w:val="0F172A"/>
                <w:sz w:val="18"/>
              </w:rPr>
              <w:t>None (Independent)</w:t>
            </w:r>
          </w:p>
        </w:tc>
        <w:tc>
          <w:tcPr>
            <w:tcW w:type="dxa" w:w="1661"/>
            <w:shd w:fill="F0FDF4"/>
          </w:tcPr>
          <w:p>
            <w:r>
              <w:rPr>
                <w:rFonts w:ascii="Arial" w:hAnsi="Arial"/>
                <w:b/>
                <w:i w:val="0"/>
                <w:color w:val="0F172A"/>
                <w:sz w:val="18"/>
              </w:rPr>
              <w:t>Dynamic State Machine (DAG)</w:t>
            </w:r>
          </w:p>
        </w:tc>
      </w:tr>
      <w:tr>
        <w:tc>
          <w:tcPr>
            <w:tcW w:type="dxa" w:w="1661"/>
          </w:tcPr>
          <w:p>
            <w:r>
              <w:rPr>
                <w:rFonts w:ascii="Arial" w:hAnsi="Arial"/>
                <w:b w:val="0"/>
                <w:i w:val="0"/>
                <w:color w:val="0F172A"/>
                <w:sz w:val="18"/>
              </w:rPr>
              <w:t>Adaptive Recovery Pacing</w:t>
            </w:r>
          </w:p>
        </w:tc>
        <w:tc>
          <w:tcPr>
            <w:tcW w:type="dxa" w:w="1661"/>
          </w:tcPr>
          <w:p>
            <w:r>
              <w:rPr>
                <w:rFonts w:ascii="Arial" w:hAnsi="Arial"/>
                <w:b w:val="0"/>
                <w:i w:val="0"/>
                <w:color w:val="0F172A"/>
                <w:sz w:val="18"/>
              </w:rPr>
              <w:t>No (Manual Reset)</w:t>
            </w:r>
          </w:p>
        </w:tc>
        <w:tc>
          <w:tcPr>
            <w:tcW w:type="dxa" w:w="1661"/>
          </w:tcPr>
          <w:p>
            <w:r>
              <w:rPr>
                <w:rFonts w:ascii="Arial" w:hAnsi="Arial"/>
                <w:b w:val="0"/>
                <w:i w:val="0"/>
                <w:color w:val="0F172A"/>
                <w:sz w:val="18"/>
              </w:rPr>
              <w:t>No (Static)</w:t>
            </w:r>
          </w:p>
        </w:tc>
        <w:tc>
          <w:tcPr>
            <w:tcW w:type="dxa" w:w="1661"/>
          </w:tcPr>
          <w:p>
            <w:r>
              <w:rPr>
                <w:rFonts w:ascii="Arial" w:hAnsi="Arial"/>
                <w:b w:val="0"/>
                <w:i w:val="0"/>
                <w:color w:val="0F172A"/>
                <w:sz w:val="18"/>
              </w:rPr>
              <w:t>No (Problem History)</w:t>
            </w:r>
          </w:p>
        </w:tc>
        <w:tc>
          <w:tcPr>
            <w:tcW w:type="dxa" w:w="1661"/>
            <w:shd w:fill="F0FDF4"/>
          </w:tcPr>
          <w:p>
            <w:r>
              <w:rPr>
                <w:rFonts w:ascii="Arial" w:hAnsi="Arial"/>
                <w:b/>
                <w:i w:val="0"/>
                <w:color w:val="0F172A"/>
                <w:sz w:val="18"/>
              </w:rPr>
              <w:t>Yes (AI 3-Day Recovery Kernel)</w:t>
            </w:r>
          </w:p>
        </w:tc>
      </w:tr>
      <w:tr>
        <w:tc>
          <w:tcPr>
            <w:tcW w:type="dxa" w:w="1661"/>
          </w:tcPr>
          <w:p>
            <w:r>
              <w:rPr>
                <w:rFonts w:ascii="Arial" w:hAnsi="Arial"/>
                <w:b w:val="0"/>
                <w:i w:val="0"/>
                <w:color w:val="0F172A"/>
                <w:sz w:val="18"/>
              </w:rPr>
              <w:t>Diagnostic Knowledge Checks</w:t>
            </w:r>
          </w:p>
        </w:tc>
        <w:tc>
          <w:tcPr>
            <w:tcW w:type="dxa" w:w="1661"/>
          </w:tcPr>
          <w:p>
            <w:r>
              <w:rPr>
                <w:rFonts w:ascii="Arial" w:hAnsi="Arial"/>
                <w:b w:val="0"/>
                <w:i w:val="0"/>
                <w:color w:val="0F172A"/>
                <w:sz w:val="18"/>
              </w:rPr>
              <w:t>Periodic Quizzes</w:t>
            </w:r>
          </w:p>
        </w:tc>
        <w:tc>
          <w:tcPr>
            <w:tcW w:type="dxa" w:w="1661"/>
          </w:tcPr>
          <w:p>
            <w:r>
              <w:rPr>
                <w:rFonts w:ascii="Arial" w:hAnsi="Arial"/>
                <w:b w:val="0"/>
                <w:i w:val="0"/>
                <w:color w:val="0F172A"/>
                <w:sz w:val="18"/>
              </w:rPr>
              <w:t>None</w:t>
            </w:r>
          </w:p>
        </w:tc>
        <w:tc>
          <w:tcPr>
            <w:tcW w:type="dxa" w:w="1661"/>
          </w:tcPr>
          <w:p>
            <w:r>
              <w:rPr>
                <w:rFonts w:ascii="Arial" w:hAnsi="Arial"/>
                <w:b w:val="0"/>
                <w:i w:val="0"/>
                <w:color w:val="0F172A"/>
                <w:sz w:val="18"/>
              </w:rPr>
              <w:t>Code Submissions</w:t>
            </w:r>
          </w:p>
        </w:tc>
        <w:tc>
          <w:tcPr>
            <w:tcW w:type="dxa" w:w="1661"/>
            <w:shd w:fill="F0FDF4"/>
          </w:tcPr>
          <w:p>
            <w:r>
              <w:rPr>
                <w:rFonts w:ascii="Arial" w:hAnsi="Arial"/>
                <w:b/>
                <w:i w:val="0"/>
                <w:color w:val="0F172A"/>
                <w:sz w:val="18"/>
              </w:rPr>
              <w:t>Integrated Concept Assessments</w:t>
            </w:r>
          </w:p>
        </w:tc>
      </w:tr>
      <w:tr>
        <w:tc>
          <w:tcPr>
            <w:tcW w:type="dxa" w:w="1661"/>
          </w:tcPr>
          <w:p>
            <w:r>
              <w:rPr>
                <w:rFonts w:ascii="Arial" w:hAnsi="Arial"/>
                <w:b w:val="0"/>
                <w:i w:val="0"/>
                <w:color w:val="0F172A"/>
                <w:sz w:val="18"/>
              </w:rPr>
              <w:t>Deployment &amp; Offline Readiness</w:t>
            </w:r>
          </w:p>
        </w:tc>
        <w:tc>
          <w:tcPr>
            <w:tcW w:type="dxa" w:w="1661"/>
          </w:tcPr>
          <w:p>
            <w:r>
              <w:rPr>
                <w:rFonts w:ascii="Arial" w:hAnsi="Arial"/>
                <w:b w:val="0"/>
                <w:i w:val="0"/>
                <w:color w:val="0F172A"/>
                <w:sz w:val="18"/>
              </w:rPr>
              <w:t>Cloud Dependent</w:t>
            </w:r>
          </w:p>
        </w:tc>
        <w:tc>
          <w:tcPr>
            <w:tcW w:type="dxa" w:w="1661"/>
          </w:tcPr>
          <w:p>
            <w:r>
              <w:rPr>
                <w:rFonts w:ascii="Arial" w:hAnsi="Arial"/>
                <w:b w:val="0"/>
                <w:i w:val="0"/>
                <w:color w:val="0F172A"/>
                <w:sz w:val="18"/>
              </w:rPr>
              <w:t>Web Dependent</w:t>
            </w:r>
          </w:p>
        </w:tc>
        <w:tc>
          <w:tcPr>
            <w:tcW w:type="dxa" w:w="1661"/>
          </w:tcPr>
          <w:p>
            <w:r>
              <w:rPr>
                <w:rFonts w:ascii="Arial" w:hAnsi="Arial"/>
                <w:b w:val="0"/>
                <w:i w:val="0"/>
                <w:color w:val="0F172A"/>
                <w:sz w:val="18"/>
              </w:rPr>
              <w:t>Cloud Dependent</w:t>
            </w:r>
          </w:p>
        </w:tc>
        <w:tc>
          <w:tcPr>
            <w:tcW w:type="dxa" w:w="1661"/>
            <w:shd w:fill="F0FDF4"/>
          </w:tcPr>
          <w:p>
            <w:r>
              <w:rPr>
                <w:rFonts w:ascii="Arial" w:hAnsi="Arial"/>
                <w:b/>
                <w:i w:val="0"/>
                <w:color w:val="0F172A"/>
                <w:sz w:val="18"/>
              </w:rPr>
              <w:t>Offline-First SPA (LocalStorage)</w:t>
            </w:r>
          </w:p>
        </w:tc>
      </w:tr>
    </w:tbl>
    <w:p>
      <w:pPr>
        <w:spacing w:before="0" w:after="120" w:line="276" w:lineRule="auto"/>
        <w:jc w:val="both"/>
      </w:pPr>
    </w:p>
    <w:p>
      <w:pPr>
        <w:pStyle w:val="Heading1"/>
        <w:keepNext/>
        <w:spacing w:before="320" w:after="160"/>
      </w:pPr>
      <w:r>
        <w:rPr>
          <w:rFonts w:ascii="Arial" w:hAnsi="Arial"/>
          <w:b/>
          <w:i w:val="0"/>
          <w:color w:val="0E7490"/>
          <w:sz w:val="30"/>
        </w:rPr>
        <w:t>CHAPTER 3: SYSTEM ANALYSIS AND DESIGN</w:t>
      </w:r>
    </w:p>
    <w:p>
      <w:pPr>
        <w:pStyle w:val="Heading2"/>
        <w:keepNext/>
        <w:spacing w:before="240" w:after="120"/>
      </w:pPr>
      <w:r>
        <w:rPr>
          <w:rFonts w:ascii="Arial" w:hAnsi="Arial"/>
          <w:b/>
          <w:i w:val="0"/>
          <w:color w:val="1E293B"/>
          <w:sz w:val="26"/>
        </w:rPr>
        <w:t>3.1 Feasibility Study</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Technical Feasibility: </w:t>
      </w:r>
      <w:r>
        <w:rPr>
          <w:rFonts w:ascii="Arial" w:hAnsi="Arial"/>
          <w:b w:val="0"/>
          <w:i w:val="0"/>
          <w:color w:val="0F172A"/>
          <w:sz w:val="22"/>
        </w:rPr>
        <w:t>The project utilizes modern React 19, Vite 8, and Tailwind CSS v4, which are industry standards supported by all modern evergreen browsers (Chrome, Edge, Safari, Firefox).</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Economic Feasibility: </w:t>
      </w:r>
      <w:r>
        <w:rPr>
          <w:rFonts w:ascii="Arial" w:hAnsi="Arial"/>
          <w:b w:val="0"/>
          <w:i w:val="0"/>
          <w:color w:val="0F172A"/>
          <w:sz w:val="22"/>
        </w:rPr>
        <w:t>Zero operating expenditure. The client-side architecture leverages free static hosting on Vercel and Railway without requiring paid cloud database servers or costly third-party AI APIs.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Operational Feasibility: </w:t>
      </w:r>
      <w:r>
        <w:rPr>
          <w:rFonts w:ascii="Arial" w:hAnsi="Arial"/>
          <w:b w:val="0"/>
          <w:i w:val="0"/>
          <w:color w:val="0F172A"/>
          <w:sz w:val="22"/>
        </w:rPr>
        <w:t>Zero-install web application accessible across mobile, tablet, and desktop devices with complete local data retention.</w:t>
      </w:r>
    </w:p>
    <w:p>
      <w:pPr>
        <w:pStyle w:val="Heading2"/>
        <w:keepNext/>
        <w:spacing w:before="240" w:after="120"/>
      </w:pPr>
      <w:r>
        <w:rPr>
          <w:rFonts w:ascii="Arial" w:hAnsi="Arial"/>
          <w:b/>
          <w:i w:val="0"/>
          <w:color w:val="1E293B"/>
          <w:sz w:val="26"/>
        </w:rPr>
        <w:t>3.2 Hardware and Software Requirements</w:t>
      </w:r>
    </w:p>
    <w:p>
      <w:pPr>
        <w:spacing w:before="0" w:after="120" w:line="276" w:lineRule="auto"/>
        <w:jc w:val="both"/>
      </w:pPr>
      <w:r>
        <w:rPr>
          <w:rFonts w:ascii="Arial" w:hAnsi="Arial"/>
          <w:b w:val="0"/>
          <w:i w:val="0"/>
          <w:color w:val="0F172A"/>
          <w:sz w:val="22"/>
        </w:rPr>
        <w:t>The operational requirements for development and client execution are detailed below:</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Client Hardware: </w:t>
      </w:r>
      <w:r>
        <w:rPr>
          <w:rFonts w:ascii="Arial" w:hAnsi="Arial"/>
          <w:b w:val="0"/>
          <w:i w:val="0"/>
          <w:color w:val="0F172A"/>
          <w:sz w:val="22"/>
        </w:rPr>
        <w:t>Any modern computing device with at least 2 GB RAM, 1.5 GHz CPU, and a standard HTML5-compliant web browser.</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Development Environment: </w:t>
      </w:r>
      <w:r>
        <w:rPr>
          <w:rFonts w:ascii="Arial" w:hAnsi="Arial"/>
          <w:b w:val="0"/>
          <w:i w:val="0"/>
          <w:color w:val="0F172A"/>
          <w:sz w:val="22"/>
        </w:rPr>
        <w:t>Windows 11 / Linux, Node.js v20+, npm v10+, Vite v8.3, React v19.2, Tailwind CSS v4.3, Git version control.</w:t>
      </w:r>
    </w:p>
    <w:p>
      <w:pPr>
        <w:pStyle w:val="Heading2"/>
        <w:keepNext/>
        <w:spacing w:before="240" w:after="120"/>
      </w:pPr>
      <w:r>
        <w:rPr>
          <w:rFonts w:ascii="Arial" w:hAnsi="Arial"/>
          <w:b/>
          <w:i w:val="0"/>
          <w:color w:val="1E293B"/>
          <w:sz w:val="26"/>
        </w:rPr>
        <w:t>3.3 System Architecture</w:t>
      </w:r>
    </w:p>
    <w:p>
      <w:pPr>
        <w:spacing w:before="0" w:after="120" w:line="276" w:lineRule="auto"/>
        <w:jc w:val="both"/>
      </w:pPr>
      <w:r>
        <w:rPr>
          <w:rFonts w:ascii="Arial" w:hAnsi="Arial"/>
          <w:b w:val="0"/>
          <w:i w:val="0"/>
          <w:color w:val="0F172A"/>
          <w:sz w:val="22"/>
        </w:rPr>
        <w:t>SmartPrep follows a decoupled four-tier client architecture comprising the Viewport Presentation Layer, Reactive State Management Layer, Intelligence Core, and Client Persistence Engine. The complete architectural blueprint is illustrated in Figure 3.1.</w:t>
      </w:r>
    </w:p>
    <w:p>
      <w:pPr>
        <w:spacing w:before="160" w:after="80"/>
        <w:jc w:val="center"/>
      </w:pPr>
      <w:r>
        <w:drawing>
          <wp:inline>
            <wp:extent cx="5669280" cy="3212592"/>
            <wp:docPr id="3" name="Picture 3"/>
            <wp:cNvGraphicFramePr>
              <a:graphicFrameLocks noChangeAspect="1"/>
            </wp:cNvGraphicFramePr>
            <a:graphic>
              <a:graphicData uri="http://schemas.openxmlformats.org/drawingml/2006/picture">
                <pic:pic>
                  <pic:nvPicPr>
                    <pic:cNvPr id="0" name="smartprep_architecture.png"/>
                    <pic:cNvPicPr/>
                  </pic:nvPicPr>
                  <pic:blipFill>
                    <a:blip r:embed="rId14"/>
                    <a:stretch>
                      <a:fillRect/>
                    </a:stretch>
                  </pic:blipFill>
                  <pic:spPr>
                    <a:xfrm>
                      <a:off x="0" y="0"/>
                      <a:ext cx="5669280" cy="3212592"/>
                    </a:xfrm>
                    <a:prstGeom prst="rect"/>
                  </pic:spPr>
                </pic:pic>
              </a:graphicData>
            </a:graphic>
          </wp:inline>
        </w:drawing>
      </w:r>
    </w:p>
    <w:p>
      <w:pPr>
        <w:spacing w:before="0" w:after="240" w:line="276" w:lineRule="auto"/>
        <w:jc w:val="center"/>
      </w:pPr>
      <w:r>
        <w:rPr>
          <w:rFonts w:ascii="Arial" w:hAnsi="Arial"/>
          <w:b/>
          <w:i/>
          <w:color w:val="64748B"/>
          <w:sz w:val="19"/>
        </w:rPr>
        <w:t>Figure 3.1: Complete System Architecture &amp; Data Flow of SmartPrep</w:t>
      </w:r>
    </w:p>
    <w:p>
      <w:pPr>
        <w:pStyle w:val="Heading2"/>
        <w:keepNext/>
        <w:spacing w:before="240" w:after="120"/>
      </w:pPr>
      <w:r>
        <w:rPr>
          <w:rFonts w:ascii="Arial" w:hAnsi="Arial"/>
          <w:b/>
          <w:i w:val="0"/>
          <w:color w:val="1E293B"/>
          <w:sz w:val="26"/>
        </w:rPr>
        <w:t>3.4 Data Flow Diagrams</w:t>
      </w:r>
    </w:p>
    <w:p>
      <w:pPr>
        <w:spacing w:before="0" w:after="120" w:line="276" w:lineRule="auto"/>
        <w:jc w:val="both"/>
      </w:pPr>
      <w:r>
        <w:rPr>
          <w:rFonts w:ascii="Arial" w:hAnsi="Arial"/>
          <w:b w:val="0"/>
          <w:i w:val="0"/>
          <w:color w:val="0F172A"/>
          <w:sz w:val="22"/>
        </w:rPr>
        <w:t>The Data Flow Diagram (DFD) Level 0 represents the boundary and high-level data transactions between the student entity, the SmartPrep Career OS, and the browser storage repository, as depicted in Figure 3.2.</w:t>
      </w:r>
    </w:p>
    <w:p>
      <w:pPr>
        <w:spacing w:before="160" w:after="80"/>
        <w:jc w:val="center"/>
      </w:pPr>
      <w:r>
        <w:drawing>
          <wp:inline>
            <wp:extent cx="5029200" cy="2682240"/>
            <wp:docPr id="4" name="Picture 4"/>
            <wp:cNvGraphicFramePr>
              <a:graphicFrameLocks noChangeAspect="1"/>
            </wp:cNvGraphicFramePr>
            <a:graphic>
              <a:graphicData uri="http://schemas.openxmlformats.org/drawingml/2006/picture">
                <pic:pic>
                  <pic:nvPicPr>
                    <pic:cNvPr id="0" name="smartprep_dfd0.png"/>
                    <pic:cNvPicPr/>
                  </pic:nvPicPr>
                  <pic:blipFill>
                    <a:blip r:embed="rId15"/>
                    <a:stretch>
                      <a:fillRect/>
                    </a:stretch>
                  </pic:blipFill>
                  <pic:spPr>
                    <a:xfrm>
                      <a:off x="0" y="0"/>
                      <a:ext cx="5029200" cy="2682240"/>
                    </a:xfrm>
                    <a:prstGeom prst="rect"/>
                  </pic:spPr>
                </pic:pic>
              </a:graphicData>
            </a:graphic>
          </wp:inline>
        </w:drawing>
      </w:r>
    </w:p>
    <w:p>
      <w:pPr>
        <w:spacing w:before="0" w:after="240" w:line="276" w:lineRule="auto"/>
        <w:jc w:val="center"/>
      </w:pPr>
      <w:r>
        <w:rPr>
          <w:rFonts w:ascii="Arial" w:hAnsi="Arial"/>
          <w:b/>
          <w:i/>
          <w:color w:val="64748B"/>
          <w:sz w:val="19"/>
        </w:rPr>
        <w:t>Figure 3.2: DFD Level 0 (Context Diagram) of SmartPrep</w:t>
      </w:r>
    </w:p>
    <w:p>
      <w:pPr>
        <w:pStyle w:val="Heading2"/>
        <w:keepNext/>
        <w:spacing w:before="240" w:after="120"/>
      </w:pPr>
      <w:r>
        <w:rPr>
          <w:rFonts w:ascii="Arial" w:hAnsi="Arial"/>
          <w:b/>
          <w:i w:val="0"/>
          <w:color w:val="1E293B"/>
          <w:sz w:val="26"/>
        </w:rPr>
        <w:t>3.5 Functional Decomposition &amp; Workflow</w:t>
      </w:r>
    </w:p>
    <w:p>
      <w:pPr>
        <w:spacing w:before="0" w:after="120" w:line="276" w:lineRule="auto"/>
        <w:jc w:val="both"/>
      </w:pPr>
      <w:r>
        <w:rPr>
          <w:rFonts w:ascii="Arial" w:hAnsi="Arial"/>
          <w:b w:val="0"/>
          <w:i w:val="0"/>
          <w:color w:val="0F172A"/>
          <w:sz w:val="22"/>
        </w:rPr>
        <w:t>The system execution decomposes into five distinct functional pipelines: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1. Profile &amp; Target Initialization: </w:t>
      </w:r>
      <w:r>
        <w:rPr>
          <w:rFonts w:ascii="Arial" w:hAnsi="Arial"/>
          <w:b w:val="0"/>
          <w:i w:val="0"/>
          <w:color w:val="0F172A"/>
          <w:sz w:val="22"/>
        </w:rPr>
        <w:t>The user selects an engineering specialization (e.g., Backend Developer) and configures their daily study pacing parameters.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2. Prerequisite State Verification: </w:t>
      </w:r>
      <w:r>
        <w:rPr>
          <w:rFonts w:ascii="Arial" w:hAnsi="Arial"/>
          <w:b w:val="0"/>
          <w:i w:val="0"/>
          <w:color w:val="0F172A"/>
          <w:sz w:val="22"/>
        </w:rPr>
        <w:t>The state engine evaluates the CompletedStages array. If stage i is completed, stage i+1 transitions from 'Upcoming' to 'Current', and remaining stages stay 'Locked'.</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3. Diagnostic Evaluation: </w:t>
      </w:r>
      <w:r>
        <w:rPr>
          <w:rFonts w:ascii="Arial" w:hAnsi="Arial"/>
          <w:b w:val="0"/>
          <w:i w:val="0"/>
          <w:color w:val="0F172A"/>
          <w:sz w:val="22"/>
        </w:rPr>
        <w:t>Students undergo conceptual quizzes. Incorrect answers automatically populate the WeakAreas collection with targeted recovery patches.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4. Study Session Logging: </w:t>
      </w:r>
      <w:r>
        <w:rPr>
          <w:rFonts w:ascii="Arial" w:hAnsi="Arial"/>
          <w:b w:val="0"/>
          <w:i w:val="0"/>
          <w:color w:val="0F172A"/>
          <w:sz w:val="22"/>
        </w:rPr>
        <w:t>The session component logs active study durations, incrementing weekly hours, calculating goal velocity, and preserving continuous study streaks.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5. AI Contextual Guidance: </w:t>
      </w:r>
      <w:r>
        <w:rPr>
          <w:rFonts w:ascii="Arial" w:hAnsi="Arial"/>
          <w:b w:val="0"/>
          <w:i w:val="0"/>
          <w:color w:val="0F172A"/>
          <w:sz w:val="22"/>
        </w:rPr>
        <w:t>The local AI engine reads active progress metrics and synthesizes actionable study directives or recovery schedules upon prompt dispatch.</w:t>
      </w:r>
    </w:p>
    <w:p>
      <w:pPr>
        <w:pStyle w:val="Heading1"/>
        <w:keepNext/>
        <w:spacing w:before="320" w:after="160"/>
      </w:pPr>
      <w:r>
        <w:rPr>
          <w:rFonts w:ascii="Arial" w:hAnsi="Arial"/>
          <w:b/>
          <w:i w:val="0"/>
          <w:color w:val="0E7490"/>
          <w:sz w:val="30"/>
        </w:rPr>
        <w:t>CHAPTER 4: IMPLEMENTATION</w:t>
      </w:r>
    </w:p>
    <w:p>
      <w:pPr>
        <w:pStyle w:val="Heading2"/>
        <w:keepNext/>
        <w:spacing w:before="240" w:after="120"/>
      </w:pPr>
      <w:r>
        <w:rPr>
          <w:rFonts w:ascii="Arial" w:hAnsi="Arial"/>
          <w:b/>
          <w:i w:val="0"/>
          <w:color w:val="1E293B"/>
          <w:sz w:val="26"/>
        </w:rPr>
        <w:t>4.1 Technology Stack &amp; Design System</w:t>
      </w:r>
    </w:p>
    <w:p>
      <w:pPr>
        <w:spacing w:before="0" w:after="120" w:line="276" w:lineRule="auto"/>
        <w:jc w:val="both"/>
      </w:pPr>
      <w:r>
        <w:rPr>
          <w:rFonts w:ascii="Arial" w:hAnsi="Arial"/>
          <w:b w:val="0"/>
          <w:i w:val="0"/>
          <w:color w:val="0F172A"/>
          <w:sz w:val="22"/>
        </w:rPr>
        <w:t>SmartPrep is engineered using React 19 with functional components and modern React hooks. Styling is implemented through Tailwind CSS v4, utilizing CSS custom properties (--primary, --surface, --on-surface, --tertiary) to provide seamless, flicker-free toggling between dark and light themes.</w:t>
      </w:r>
    </w:p>
    <w:p>
      <w:pPr>
        <w:pStyle w:val="Heading2"/>
        <w:keepNext/>
        <w:spacing w:before="240" w:after="120"/>
      </w:pPr>
      <w:r>
        <w:rPr>
          <w:rFonts w:ascii="Arial" w:hAnsi="Arial"/>
          <w:b/>
          <w:i w:val="0"/>
          <w:color w:val="1E293B"/>
          <w:sz w:val="26"/>
        </w:rPr>
        <w:t>4.2 Core Algorithmic Implementations</w:t>
      </w:r>
    </w:p>
    <w:p>
      <w:pPr>
        <w:pStyle w:val="Heading3"/>
        <w:keepNext/>
        <w:spacing w:before="160" w:after="80"/>
      </w:pPr>
      <w:r>
        <w:rPr>
          <w:rFonts w:ascii="Arial" w:hAnsi="Arial"/>
          <w:b/>
          <w:i w:val="0"/>
          <w:color w:val="334155"/>
          <w:sz w:val="23"/>
        </w:rPr>
        <w:t>4.2.1 Dynamic Prerequisite Resolution Algorithm</w:t>
      </w:r>
    </w:p>
    <w:p>
      <w:pPr>
        <w:spacing w:before="0" w:after="120" w:line="276" w:lineRule="auto"/>
        <w:jc w:val="both"/>
      </w:pPr>
      <w:r>
        <w:rPr>
          <w:rFonts w:ascii="Arial" w:hAnsi="Arial"/>
          <w:b w:val="0"/>
          <w:i w:val="0"/>
          <w:color w:val="0F172A"/>
          <w:sz w:val="22"/>
        </w:rPr>
        <w:t>The dynamic resolution of stage status is executed functionally through the getRoadmapWithStatus algorithm:</w:t>
      </w:r>
    </w:p>
    <w:p>
      <w:pPr>
        <w:spacing w:before="80" w:after="120"/>
        <w:ind w:left="432" w:right="432"/>
      </w:pPr>
      <w:r>
        <w:rPr>
          <w:rFonts w:ascii="Consolas" w:hAnsi="Consolas"/>
          <w:b w:val="0"/>
          <w:i w:val="0"/>
          <w:color w:val="0F172A"/>
          <w:sz w:val="19"/>
        </w:rPr>
        <w:t>// Core Prerequisite State Machine (AppContext.jsx)</w:t>
        <w:br/>
        <w:t>function getRoadmapWithStatus(completedStages, currentStageId, goalId) {</w:t>
        <w:br/>
        <w:t xml:space="preserve">  const roadmap = goalId === 'backend-developer' </w:t>
        <w:br/>
        <w:t xml:space="preserve">    ? BACKEND_ROADMAP </w:t>
        <w:br/>
        <w:t xml:space="preserve">    : (OTHER_ROADMAPS[goalId] || []);</w:t>
        <w:br/>
        <w:t xml:space="preserve">    </w:t>
        <w:br/>
        <w:t xml:space="preserve">  const currentIdx = roadmap.findIndex(s =&gt; !completedStages.includes(s.id));</w:t>
        <w:br/>
        <w:t xml:space="preserve">  </w:t>
        <w:br/>
        <w:t xml:space="preserve">  return roadmap.map((stage, idx) =&gt; {</w:t>
        <w:br/>
        <w:t xml:space="preserve">    let status = 'locked';</w:t>
        <w:br/>
        <w:t xml:space="preserve">    if (completedStages.includes(stage.id)) status = 'completed';</w:t>
        <w:br/>
        <w:t xml:space="preserve">    else if (idx === currentIdx) status = 'current';</w:t>
        <w:br/>
        <w:t xml:space="preserve">    else if (idx === currentIdx + 1) status = 'upcoming';</w:t>
        <w:br/>
        <w:t xml:space="preserve">    return { ...stage, status };</w:t>
        <w:br/>
        <w:t xml:space="preserve">  });</w:t>
        <w:br/>
        <w:t>}</w:t>
      </w:r>
    </w:p>
    <w:p>
      <w:pPr>
        <w:pStyle w:val="Heading3"/>
        <w:keepNext/>
        <w:spacing w:before="160" w:after="80"/>
      </w:pPr>
      <w:r>
        <w:rPr>
          <w:rFonts w:ascii="Arial" w:hAnsi="Arial"/>
          <w:b/>
          <w:i w:val="0"/>
          <w:color w:val="334155"/>
          <w:sz w:val="23"/>
        </w:rPr>
        <w:t>4.2.2 Local AI Guidance Engine &amp; Intent Classification</w:t>
      </w:r>
    </w:p>
    <w:p>
      <w:pPr>
        <w:spacing w:before="0" w:after="120" w:line="276" w:lineRule="auto"/>
        <w:jc w:val="both"/>
      </w:pPr>
      <w:r>
        <w:rPr>
          <w:rFonts w:ascii="Arial" w:hAnsi="Arial"/>
          <w:b w:val="0"/>
          <w:i w:val="0"/>
          <w:color w:val="0F172A"/>
          <w:sz w:val="22"/>
        </w:rPr>
        <w:t>The AI Kernel operates completely client-side without external API calls, executing intent mapping and dynamic schedule recovery:</w:t>
      </w:r>
    </w:p>
    <w:p>
      <w:pPr>
        <w:spacing w:before="80" w:after="120"/>
        <w:ind w:left="432" w:right="432"/>
      </w:pPr>
      <w:r>
        <w:rPr>
          <w:rFonts w:ascii="Consolas" w:hAnsi="Consolas"/>
          <w:b w:val="0"/>
          <w:i w:val="0"/>
          <w:color w:val="0F172A"/>
          <w:sz w:val="19"/>
        </w:rPr>
        <w:t>// Intent Classifier &amp; Response Dispatcher (aiEngine.js)</w:t>
        <w:br/>
        <w:t>const INTENTS = [</w:t>
        <w:br/>
        <w:t xml:space="preserve">  ['today',    ['today', 'study now', 'what should i study', 'plan for today']],</w:t>
        <w:br/>
        <w:t xml:space="preserve">  ['missed',   ['missed', 'adjust', 'behind', 'skipped', 'lazy']],</w:t>
        <w:br/>
        <w:t xml:space="preserve">  ['next',     ['after', 'next', 'comes after', 'upcoming']],</w:t>
        <w:br/>
        <w:t xml:space="preserve">  ['practice', ['practice', 'question', 'quiz', 'problem']],</w:t>
        <w:br/>
        <w:t xml:space="preserve">  ['weak',     ['weak', 'gap', 'improve', 'struggl']],</w:t>
        <w:br/>
        <w:t xml:space="preserve">  ['progress', ['progress', 'status', 'how am i', 'report']],</w:t>
        <w:br/>
        <w:t>];</w:t>
        <w:br/>
        <w:br/>
        <w:t>export function detectIntent(msg) {</w:t>
        <w:br/>
        <w:t xml:space="preserve">  const m = msg.toLowerCase();</w:t>
        <w:br/>
        <w:t xml:space="preserve">  for (const [intent, words] of INTENTS) {</w:t>
        <w:br/>
        <w:t xml:space="preserve">    if (words.some(w =&gt; m.includes(w))) return intent;</w:t>
        <w:br/>
        <w:t xml:space="preserve">  }</w:t>
        <w:br/>
        <w:t xml:space="preserve">  return 'help';</w:t>
        <w:br/>
        <w:t>}</w:t>
      </w:r>
    </w:p>
    <w:p>
      <w:pPr>
        <w:pStyle w:val="Heading3"/>
        <w:keepNext/>
        <w:spacing w:before="160" w:after="80"/>
      </w:pPr>
      <w:r>
        <w:rPr>
          <w:rFonts w:ascii="Arial" w:hAnsi="Arial"/>
          <w:b/>
          <w:i w:val="0"/>
          <w:color w:val="334155"/>
          <w:sz w:val="23"/>
        </w:rPr>
        <w:t>4.2.3 Web Audio API Sound Synthesizer</w:t>
      </w:r>
    </w:p>
    <w:p>
      <w:pPr>
        <w:spacing w:before="0" w:after="120" w:line="276" w:lineRule="auto"/>
        <w:jc w:val="both"/>
      </w:pPr>
      <w:r>
        <w:rPr>
          <w:rFonts w:ascii="Arial" w:hAnsi="Arial"/>
          <w:b w:val="0"/>
          <w:i w:val="0"/>
          <w:color w:val="0F172A"/>
          <w:sz w:val="22"/>
        </w:rPr>
        <w:t>To provide instant acoustic feedback without downloading audio files, the system synthesizes tones using the browser's Web Audio API:</w:t>
      </w:r>
    </w:p>
    <w:p>
      <w:pPr>
        <w:spacing w:before="80" w:after="120"/>
        <w:ind w:left="432" w:right="432"/>
      </w:pPr>
      <w:r>
        <w:rPr>
          <w:rFonts w:ascii="Consolas" w:hAnsi="Consolas"/>
          <w:b w:val="0"/>
          <w:i w:val="0"/>
          <w:color w:val="0F172A"/>
          <w:sz w:val="19"/>
        </w:rPr>
        <w:t>// Web Audio Oscillator Tone Generator (sound.js)</w:t>
        <w:br/>
        <w:t>export const sound = {</w:t>
        <w:br/>
        <w:t xml:space="preserve">  playSuccess() {</w:t>
        <w:br/>
        <w:t xml:space="preserve">    try {</w:t>
        <w:br/>
        <w:t xml:space="preserve">      const ctx = new (window.AudioContext || window.webkitAudioContext)();</w:t>
        <w:br/>
        <w:t xml:space="preserve">      const osc = ctx.createOscillator();</w:t>
        <w:br/>
        <w:t xml:space="preserve">      const gain = ctx.createGain();</w:t>
        <w:br/>
        <w:t xml:space="preserve">      osc.type = 'sine';</w:t>
        <w:br/>
        <w:t xml:space="preserve">      osc.frequency.setValueAtTime(587.33, ctx.currentTime); // D5</w:t>
        <w:br/>
        <w:t xml:space="preserve">      osc.frequency.exponentialRampToValueAtTime(880.00, ctx.currentTime + 0.15); // A5</w:t>
        <w:br/>
        <w:t xml:space="preserve">      gain.gain.setValueAtTime(0.12, ctx.currentTime);</w:t>
        <w:br/>
        <w:t xml:space="preserve">      gain.gain.exponentialRampToValueAtTime(0.01, ctx.currentTime + 0.15);</w:t>
        <w:br/>
        <w:t xml:space="preserve">      osc.connect(gain);</w:t>
        <w:br/>
        <w:t xml:space="preserve">      gain.connect(ctx.destination);</w:t>
        <w:br/>
        <w:t xml:space="preserve">      osc.start();</w:t>
        <w:br/>
        <w:t xml:space="preserve">      osc.stop(ctx.currentTime + 0.15);</w:t>
        <w:br/>
        <w:t xml:space="preserve">    } catch (e) { /* silent fallback */ }</w:t>
        <w:br/>
        <w:t xml:space="preserve">  }</w:t>
        <w:br/>
        <w:t>};</w:t>
      </w:r>
    </w:p>
    <w:p>
      <w:pPr>
        <w:pStyle w:val="Heading2"/>
        <w:keepNext/>
        <w:spacing w:before="240" w:after="120"/>
      </w:pPr>
      <w:r>
        <w:rPr>
          <w:rFonts w:ascii="Arial" w:hAnsi="Arial"/>
          <w:b/>
          <w:i w:val="0"/>
          <w:color w:val="1E293B"/>
          <w:sz w:val="26"/>
        </w:rPr>
        <w:t>4.3 Client Data Persistence</w:t>
      </w:r>
    </w:p>
    <w:p>
      <w:pPr>
        <w:spacing w:before="0" w:after="120" w:line="276" w:lineRule="auto"/>
        <w:jc w:val="both"/>
      </w:pPr>
      <w:r>
        <w:rPr>
          <w:rFonts w:ascii="Arial" w:hAnsi="Arial"/>
          <w:b w:val="0"/>
          <w:i w:val="0"/>
          <w:color w:val="0F172A"/>
          <w:sz w:val="22"/>
        </w:rPr>
        <w:t>Data persistence is managed via a dedicated storage utility module wrapping the HTML5 window.localStorage API. To support academic demonstrations, the application includes a resetDemo function that clears modified keys and restores the default profile for student Ayush Kumar Singh (Roll No. 2501530100037, Section 2-A).</w:t>
      </w:r>
    </w:p>
    <w:p>
      <w:pPr>
        <w:pStyle w:val="Heading1"/>
        <w:keepNext/>
        <w:spacing w:before="320" w:after="160"/>
      </w:pPr>
      <w:r>
        <w:rPr>
          <w:rFonts w:ascii="Arial" w:hAnsi="Arial"/>
          <w:b/>
          <w:i w:val="0"/>
          <w:color w:val="0E7490"/>
          <w:sz w:val="30"/>
        </w:rPr>
        <w:t>CHAPTER 5: TESTING</w:t>
      </w:r>
    </w:p>
    <w:p>
      <w:pPr>
        <w:pStyle w:val="Heading2"/>
        <w:keepNext/>
        <w:spacing w:before="240" w:after="120"/>
      </w:pPr>
      <w:r>
        <w:rPr>
          <w:rFonts w:ascii="Arial" w:hAnsi="Arial"/>
          <w:b/>
          <w:i w:val="0"/>
          <w:color w:val="1E293B"/>
          <w:sz w:val="26"/>
        </w:rPr>
        <w:t>5.1 Testing Strategy</w:t>
      </w:r>
    </w:p>
    <w:p>
      <w:pPr>
        <w:spacing w:before="0" w:after="120" w:line="276" w:lineRule="auto"/>
        <w:jc w:val="both"/>
      </w:pPr>
      <w:r>
        <w:rPr>
          <w:rFonts w:ascii="Arial" w:hAnsi="Arial"/>
          <w:b w:val="0"/>
          <w:i w:val="0"/>
          <w:color w:val="0F172A"/>
          <w:sz w:val="22"/>
        </w:rPr>
        <w:t>The validation methodology encompassed Unit Component Verification, Prerequisite State Boundary Analysis, Client Storage Synchronization, and Cross-Browser Usability Testing.</w:t>
      </w:r>
    </w:p>
    <w:p>
      <w:pPr>
        <w:pStyle w:val="Heading2"/>
        <w:keepNext/>
        <w:spacing w:before="240" w:after="120"/>
      </w:pPr>
      <w:r>
        <w:rPr>
          <w:rFonts w:ascii="Arial" w:hAnsi="Arial"/>
          <w:b/>
          <w:i w:val="0"/>
          <w:color w:val="1E293B"/>
          <w:sz w:val="26"/>
        </w:rPr>
        <w:t>5.2 Functional Test Case Execution Matrix</w:t>
      </w:r>
    </w:p>
    <w:p>
      <w:pPr>
        <w:spacing w:before="0" w:after="120" w:line="276" w:lineRule="auto"/>
        <w:jc w:val="both"/>
      </w:pPr>
      <w:r>
        <w:rPr>
          <w:rFonts w:ascii="Arial" w:hAnsi="Arial"/>
          <w:b w:val="0"/>
          <w:i w:val="0"/>
          <w:color w:val="0F172A"/>
          <w:sz w:val="22"/>
        </w:rPr>
        <w:t>Table 5.1 documents the formal functional test cases executed across all core subsystems:</w:t>
      </w:r>
    </w:p>
    <w:tbl>
      <w:tblPr>
        <w:tblW w:type="auto" w:w="0"/>
        <w:jc w:val="center"/>
        <w:tblLook w:firstColumn="1" w:firstRow="1" w:lastColumn="0" w:lastRow="0" w:noHBand="0" w:noVBand="1" w:val="04A0"/>
      </w:tblPr>
      <w:tblGrid>
        <w:gridCol w:w="1661"/>
        <w:gridCol w:w="1661"/>
        <w:gridCol w:w="1661"/>
        <w:gridCol w:w="1661"/>
        <w:gridCol w:w="1661"/>
      </w:tblGrid>
      <w:tr>
        <w:tc>
          <w:tcPr>
            <w:tcW w:type="dxa" w:w="1661"/>
            <w:shd w:fill="0F172A"/>
          </w:tcPr>
          <w:p>
            <w:pPr>
              <w:jc w:val="center"/>
            </w:pPr>
            <w:r>
              <w:rPr>
                <w:rFonts w:ascii="Arial" w:hAnsi="Arial"/>
                <w:b/>
                <w:i w:val="0"/>
                <w:color w:val="FFFFFF"/>
                <w:sz w:val="19"/>
              </w:rPr>
              <w:t>Test ID</w:t>
            </w:r>
          </w:p>
        </w:tc>
        <w:tc>
          <w:tcPr>
            <w:tcW w:type="dxa" w:w="1661"/>
            <w:shd w:fill="0F172A"/>
          </w:tcPr>
          <w:p>
            <w:pPr>
              <w:jc w:val="center"/>
            </w:pPr>
            <w:r>
              <w:rPr>
                <w:rFonts w:ascii="Arial" w:hAnsi="Arial"/>
                <w:b/>
                <w:i w:val="0"/>
                <w:color w:val="FFFFFF"/>
                <w:sz w:val="19"/>
              </w:rPr>
              <w:t>Module Under Test</w:t>
            </w:r>
          </w:p>
        </w:tc>
        <w:tc>
          <w:tcPr>
            <w:tcW w:type="dxa" w:w="1661"/>
            <w:shd w:fill="0F172A"/>
          </w:tcPr>
          <w:p>
            <w:pPr>
              <w:jc w:val="center"/>
            </w:pPr>
            <w:r>
              <w:rPr>
                <w:rFonts w:ascii="Arial" w:hAnsi="Arial"/>
                <w:b/>
                <w:i w:val="0"/>
                <w:color w:val="FFFFFF"/>
                <w:sz w:val="19"/>
              </w:rPr>
              <w:t>Input Scenario</w:t>
            </w:r>
          </w:p>
        </w:tc>
        <w:tc>
          <w:tcPr>
            <w:tcW w:type="dxa" w:w="1661"/>
            <w:shd w:fill="0F172A"/>
          </w:tcPr>
          <w:p>
            <w:pPr>
              <w:jc w:val="center"/>
            </w:pPr>
            <w:r>
              <w:rPr>
                <w:rFonts w:ascii="Arial" w:hAnsi="Arial"/>
                <w:b/>
                <w:i w:val="0"/>
                <w:color w:val="FFFFFF"/>
                <w:sz w:val="19"/>
              </w:rPr>
              <w:t>Expected Outcome</w:t>
            </w:r>
          </w:p>
        </w:tc>
        <w:tc>
          <w:tcPr>
            <w:tcW w:type="dxa" w:w="1661"/>
            <w:shd w:fill="0F172A"/>
          </w:tcPr>
          <w:p>
            <w:pPr>
              <w:jc w:val="center"/>
            </w:pPr>
            <w:r>
              <w:rPr>
                <w:rFonts w:ascii="Arial" w:hAnsi="Arial"/>
                <w:b/>
                <w:i w:val="0"/>
                <w:color w:val="FFFFFF"/>
                <w:sz w:val="19"/>
              </w:rPr>
              <w:t>Test Status</w:t>
            </w:r>
          </w:p>
        </w:tc>
      </w:tr>
      <w:tr>
        <w:tc>
          <w:tcPr>
            <w:tcW w:type="dxa" w:w="1661"/>
          </w:tcPr>
          <w:p>
            <w:r>
              <w:rPr>
                <w:rFonts w:ascii="Arial" w:hAnsi="Arial"/>
                <w:b w:val="0"/>
                <w:i w:val="0"/>
                <w:color w:val="0F172A"/>
                <w:sz w:val="18"/>
              </w:rPr>
              <w:t>TC-01</w:t>
            </w:r>
          </w:p>
        </w:tc>
        <w:tc>
          <w:tcPr>
            <w:tcW w:type="dxa" w:w="1661"/>
          </w:tcPr>
          <w:p>
            <w:r>
              <w:rPr>
                <w:rFonts w:ascii="Arial" w:hAnsi="Arial"/>
                <w:b w:val="0"/>
                <w:i w:val="0"/>
                <w:color w:val="0F172A"/>
                <w:sz w:val="18"/>
              </w:rPr>
              <w:t>Goal Setup</w:t>
            </w:r>
          </w:p>
        </w:tc>
        <w:tc>
          <w:tcPr>
            <w:tcW w:type="dxa" w:w="1661"/>
          </w:tcPr>
          <w:p>
            <w:r>
              <w:rPr>
                <w:rFonts w:ascii="Arial" w:hAnsi="Arial"/>
                <w:b w:val="0"/>
                <w:i w:val="0"/>
                <w:color w:val="0F172A"/>
                <w:sz w:val="18"/>
              </w:rPr>
              <w:t>User selects 'Backend Developer' track</w:t>
            </w:r>
          </w:p>
        </w:tc>
        <w:tc>
          <w:tcPr>
            <w:tcW w:type="dxa" w:w="1661"/>
          </w:tcPr>
          <w:p>
            <w:r>
              <w:rPr>
                <w:rFonts w:ascii="Arial" w:hAnsi="Arial"/>
                <w:b w:val="0"/>
                <w:i w:val="0"/>
                <w:color w:val="0F172A"/>
                <w:sz w:val="18"/>
              </w:rPr>
              <w:t>Initialize 7-stage roadmap; Stage 1 Current, Stages 2-7 Locked; Progress 0%</w:t>
            </w:r>
          </w:p>
        </w:tc>
        <w:tc>
          <w:tcPr>
            <w:tcW w:type="dxa" w:w="1661"/>
            <w:shd w:fill="F0FDF4"/>
          </w:tcPr>
          <w:p>
            <w:r>
              <w:rPr>
                <w:rFonts w:ascii="Arial" w:hAnsi="Arial"/>
                <w:b/>
                <w:i w:val="0"/>
                <w:color w:val="0F172A"/>
                <w:sz w:val="18"/>
              </w:rPr>
              <w:t>PASSED (1.8 ms)</w:t>
            </w:r>
          </w:p>
        </w:tc>
      </w:tr>
      <w:tr>
        <w:tc>
          <w:tcPr>
            <w:tcW w:type="dxa" w:w="1661"/>
          </w:tcPr>
          <w:p>
            <w:r>
              <w:rPr>
                <w:rFonts w:ascii="Arial" w:hAnsi="Arial"/>
                <w:b w:val="0"/>
                <w:i w:val="0"/>
                <w:color w:val="0F172A"/>
                <w:sz w:val="18"/>
              </w:rPr>
              <w:t>TC-02</w:t>
            </w:r>
          </w:p>
        </w:tc>
        <w:tc>
          <w:tcPr>
            <w:tcW w:type="dxa" w:w="1661"/>
          </w:tcPr>
          <w:p>
            <w:r>
              <w:rPr>
                <w:rFonts w:ascii="Arial" w:hAnsi="Arial"/>
                <w:b w:val="0"/>
                <w:i w:val="0"/>
                <w:color w:val="0F172A"/>
                <w:sz w:val="18"/>
              </w:rPr>
              <w:t>Prereq Machine</w:t>
            </w:r>
          </w:p>
        </w:tc>
        <w:tc>
          <w:tcPr>
            <w:tcW w:type="dxa" w:w="1661"/>
          </w:tcPr>
          <w:p>
            <w:r>
              <w:rPr>
                <w:rFonts w:ascii="Arial" w:hAnsi="Arial"/>
                <w:b w:val="0"/>
                <w:i w:val="0"/>
                <w:color w:val="0F172A"/>
                <w:sz w:val="18"/>
              </w:rPr>
              <w:t>Complete Stage 1 (Java) &amp; Stage 2 (OOP)</w:t>
            </w:r>
          </w:p>
        </w:tc>
        <w:tc>
          <w:tcPr>
            <w:tcW w:type="dxa" w:w="1661"/>
          </w:tcPr>
          <w:p>
            <w:r>
              <w:rPr>
                <w:rFonts w:ascii="Arial" w:hAnsi="Arial"/>
                <w:b w:val="0"/>
                <w:i w:val="0"/>
                <w:color w:val="0F172A"/>
                <w:sz w:val="18"/>
              </w:rPr>
              <w:t>Stages 1 &amp; 2 marked Completed, Stage 3 unlocks to Current, Progress = 29%</w:t>
            </w:r>
          </w:p>
        </w:tc>
        <w:tc>
          <w:tcPr>
            <w:tcW w:type="dxa" w:w="1661"/>
            <w:shd w:fill="F0FDF4"/>
          </w:tcPr>
          <w:p>
            <w:r>
              <w:rPr>
                <w:rFonts w:ascii="Arial" w:hAnsi="Arial"/>
                <w:b/>
                <w:i w:val="0"/>
                <w:color w:val="0F172A"/>
                <w:sz w:val="18"/>
              </w:rPr>
              <w:t>PASSED (Dynamic State Verified)</w:t>
            </w:r>
          </w:p>
        </w:tc>
      </w:tr>
      <w:tr>
        <w:tc>
          <w:tcPr>
            <w:tcW w:type="dxa" w:w="1661"/>
          </w:tcPr>
          <w:p>
            <w:r>
              <w:rPr>
                <w:rFonts w:ascii="Arial" w:hAnsi="Arial"/>
                <w:b w:val="0"/>
                <w:i w:val="0"/>
                <w:color w:val="0F172A"/>
                <w:sz w:val="18"/>
              </w:rPr>
              <w:t>TC-03</w:t>
            </w:r>
          </w:p>
        </w:tc>
        <w:tc>
          <w:tcPr>
            <w:tcW w:type="dxa" w:w="1661"/>
          </w:tcPr>
          <w:p>
            <w:r>
              <w:rPr>
                <w:rFonts w:ascii="Arial" w:hAnsi="Arial"/>
                <w:b w:val="0"/>
                <w:i w:val="0"/>
                <w:color w:val="0F172A"/>
                <w:sz w:val="18"/>
              </w:rPr>
              <w:t>Security Gating</w:t>
            </w:r>
          </w:p>
        </w:tc>
        <w:tc>
          <w:tcPr>
            <w:tcW w:type="dxa" w:w="1661"/>
          </w:tcPr>
          <w:p>
            <w:r>
              <w:rPr>
                <w:rFonts w:ascii="Arial" w:hAnsi="Arial"/>
                <w:b w:val="0"/>
                <w:i w:val="0"/>
                <w:color w:val="0F172A"/>
                <w:sz w:val="18"/>
              </w:rPr>
              <w:t>Attempt to access locked Stage 5 directly</w:t>
            </w:r>
          </w:p>
        </w:tc>
        <w:tc>
          <w:tcPr>
            <w:tcW w:type="dxa" w:w="1661"/>
          </w:tcPr>
          <w:p>
            <w:r>
              <w:rPr>
                <w:rFonts w:ascii="Arial" w:hAnsi="Arial"/>
                <w:b w:val="0"/>
                <w:i w:val="0"/>
                <w:color w:val="0F172A"/>
                <w:sz w:val="18"/>
              </w:rPr>
              <w:t>Action blocked; Prerequisite requirement prompt shown; State unchanged</w:t>
            </w:r>
          </w:p>
        </w:tc>
        <w:tc>
          <w:tcPr>
            <w:tcW w:type="dxa" w:w="1661"/>
            <w:shd w:fill="F0FDF4"/>
          </w:tcPr>
          <w:p>
            <w:r>
              <w:rPr>
                <w:rFonts w:ascii="Arial" w:hAnsi="Arial"/>
                <w:b/>
                <w:i w:val="0"/>
                <w:color w:val="0F172A"/>
                <w:sz w:val="18"/>
              </w:rPr>
              <w:t>PASSED (Integrity Preserved)</w:t>
            </w:r>
          </w:p>
        </w:tc>
      </w:tr>
      <w:tr>
        <w:tc>
          <w:tcPr>
            <w:tcW w:type="dxa" w:w="1661"/>
          </w:tcPr>
          <w:p>
            <w:r>
              <w:rPr>
                <w:rFonts w:ascii="Arial" w:hAnsi="Arial"/>
                <w:b w:val="0"/>
                <w:i w:val="0"/>
                <w:color w:val="0F172A"/>
                <w:sz w:val="18"/>
              </w:rPr>
              <w:t>TC-04</w:t>
            </w:r>
          </w:p>
        </w:tc>
        <w:tc>
          <w:tcPr>
            <w:tcW w:type="dxa" w:w="1661"/>
          </w:tcPr>
          <w:p>
            <w:r>
              <w:rPr>
                <w:rFonts w:ascii="Arial" w:hAnsi="Arial"/>
                <w:b w:val="0"/>
                <w:i w:val="0"/>
                <w:color w:val="0F172A"/>
                <w:sz w:val="18"/>
              </w:rPr>
              <w:t>AI Catch-up</w:t>
            </w:r>
          </w:p>
        </w:tc>
        <w:tc>
          <w:tcPr>
            <w:tcW w:type="dxa" w:w="1661"/>
          </w:tcPr>
          <w:p>
            <w:r>
              <w:rPr>
                <w:rFonts w:ascii="Arial" w:hAnsi="Arial"/>
                <w:b w:val="0"/>
                <w:i w:val="0"/>
                <w:color w:val="0F172A"/>
                <w:sz w:val="18"/>
              </w:rPr>
              <w:t>Query AI: 'I missed 3 days, adjust my plan'</w:t>
            </w:r>
          </w:p>
        </w:tc>
        <w:tc>
          <w:tcPr>
            <w:tcW w:type="dxa" w:w="1661"/>
          </w:tcPr>
          <w:p>
            <w:r>
              <w:rPr>
                <w:rFonts w:ascii="Arial" w:hAnsi="Arial"/>
                <w:b w:val="0"/>
                <w:i w:val="0"/>
                <w:color w:val="0F172A"/>
                <w:sz w:val="18"/>
              </w:rPr>
              <w:t>AI Kernel calculates weekly hour deficit and outputs 3-day recovery plan</w:t>
            </w:r>
          </w:p>
        </w:tc>
        <w:tc>
          <w:tcPr>
            <w:tcW w:type="dxa" w:w="1661"/>
            <w:shd w:fill="F0FDF4"/>
          </w:tcPr>
          <w:p>
            <w:r>
              <w:rPr>
                <w:rFonts w:ascii="Arial" w:hAnsi="Arial"/>
                <w:b/>
                <w:i w:val="0"/>
                <w:color w:val="0F172A"/>
                <w:sz w:val="18"/>
              </w:rPr>
              <w:t>PASSED (Accurate Heuristic)</w:t>
            </w:r>
          </w:p>
        </w:tc>
      </w:tr>
      <w:tr>
        <w:tc>
          <w:tcPr>
            <w:tcW w:type="dxa" w:w="1661"/>
          </w:tcPr>
          <w:p>
            <w:r>
              <w:rPr>
                <w:rFonts w:ascii="Arial" w:hAnsi="Arial"/>
                <w:b w:val="0"/>
                <w:i w:val="0"/>
                <w:color w:val="0F172A"/>
                <w:sz w:val="18"/>
              </w:rPr>
              <w:t>TC-05</w:t>
            </w:r>
          </w:p>
        </w:tc>
        <w:tc>
          <w:tcPr>
            <w:tcW w:type="dxa" w:w="1661"/>
          </w:tcPr>
          <w:p>
            <w:r>
              <w:rPr>
                <w:rFonts w:ascii="Arial" w:hAnsi="Arial"/>
                <w:b w:val="0"/>
                <w:i w:val="0"/>
                <w:color w:val="0F172A"/>
                <w:sz w:val="18"/>
              </w:rPr>
              <w:t>Diagnostic Quiz</w:t>
            </w:r>
          </w:p>
        </w:tc>
        <w:tc>
          <w:tcPr>
            <w:tcW w:type="dxa" w:w="1661"/>
          </w:tcPr>
          <w:p>
            <w:r>
              <w:rPr>
                <w:rFonts w:ascii="Arial" w:hAnsi="Arial"/>
                <w:b w:val="0"/>
                <w:i w:val="0"/>
                <w:color w:val="0F172A"/>
                <w:sz w:val="18"/>
              </w:rPr>
              <w:t>Answer questions on Java Interface and Stack</w:t>
            </w:r>
          </w:p>
        </w:tc>
        <w:tc>
          <w:tcPr>
            <w:tcW w:type="dxa" w:w="1661"/>
          </w:tcPr>
          <w:p>
            <w:r>
              <w:rPr>
                <w:rFonts w:ascii="Arial" w:hAnsi="Arial"/>
                <w:b w:val="0"/>
                <w:i w:val="0"/>
                <w:color w:val="0F172A"/>
                <w:sz w:val="18"/>
              </w:rPr>
              <w:t>Score computed, knowledge gap tagged, synthetic Web Audio tone played</w:t>
            </w:r>
          </w:p>
        </w:tc>
        <w:tc>
          <w:tcPr>
            <w:tcW w:type="dxa" w:w="1661"/>
            <w:shd w:fill="F0FDF4"/>
          </w:tcPr>
          <w:p>
            <w:r>
              <w:rPr>
                <w:rFonts w:ascii="Arial" w:hAnsi="Arial"/>
                <w:b/>
                <w:i w:val="0"/>
                <w:color w:val="0F172A"/>
                <w:sz w:val="18"/>
              </w:rPr>
              <w:t>PASSED (Zero Latency)</w:t>
            </w:r>
          </w:p>
        </w:tc>
      </w:tr>
      <w:tr>
        <w:tc>
          <w:tcPr>
            <w:tcW w:type="dxa" w:w="1661"/>
          </w:tcPr>
          <w:p>
            <w:r>
              <w:rPr>
                <w:rFonts w:ascii="Arial" w:hAnsi="Arial"/>
                <w:b w:val="0"/>
                <w:i w:val="0"/>
                <w:color w:val="0F172A"/>
                <w:sz w:val="18"/>
              </w:rPr>
              <w:t>TC-06</w:t>
            </w:r>
          </w:p>
        </w:tc>
        <w:tc>
          <w:tcPr>
            <w:tcW w:type="dxa" w:w="1661"/>
          </w:tcPr>
          <w:p>
            <w:r>
              <w:rPr>
                <w:rFonts w:ascii="Arial" w:hAnsi="Arial"/>
                <w:b w:val="0"/>
                <w:i w:val="0"/>
                <w:color w:val="0F172A"/>
                <w:sz w:val="18"/>
              </w:rPr>
              <w:t>Data Persistence</w:t>
            </w:r>
          </w:p>
        </w:tc>
        <w:tc>
          <w:tcPr>
            <w:tcW w:type="dxa" w:w="1661"/>
          </w:tcPr>
          <w:p>
            <w:r>
              <w:rPr>
                <w:rFonts w:ascii="Arial" w:hAnsi="Arial"/>
                <w:b w:val="0"/>
                <w:i w:val="0"/>
                <w:color w:val="0F172A"/>
                <w:sz w:val="18"/>
              </w:rPr>
              <w:t>Refresh browser after logging study session</w:t>
            </w:r>
          </w:p>
        </w:tc>
        <w:tc>
          <w:tcPr>
            <w:tcW w:type="dxa" w:w="1661"/>
          </w:tcPr>
          <w:p>
            <w:r>
              <w:rPr>
                <w:rFonts w:ascii="Arial" w:hAnsi="Arial"/>
                <w:b w:val="0"/>
                <w:i w:val="0"/>
                <w:color w:val="0F172A"/>
                <w:sz w:val="18"/>
              </w:rPr>
              <w:t>LocalStorage accurately re-hydrates profile, weekly hours, and streak count</w:t>
            </w:r>
          </w:p>
        </w:tc>
        <w:tc>
          <w:tcPr>
            <w:tcW w:type="dxa" w:w="1661"/>
            <w:shd w:fill="F0FDF4"/>
          </w:tcPr>
          <w:p>
            <w:r>
              <w:rPr>
                <w:rFonts w:ascii="Arial" w:hAnsi="Arial"/>
                <w:b/>
                <w:i w:val="0"/>
                <w:color w:val="0F172A"/>
                <w:sz w:val="18"/>
              </w:rPr>
              <w:t>PASSED (Zero Data Loss)</w:t>
            </w:r>
          </w:p>
        </w:tc>
      </w:tr>
    </w:tbl>
    <w:p>
      <w:pPr>
        <w:spacing w:before="0" w:after="120" w:line="276" w:lineRule="auto"/>
        <w:jc w:val="both"/>
      </w:pPr>
    </w:p>
    <w:p>
      <w:pPr>
        <w:pStyle w:val="Heading2"/>
        <w:keepNext/>
        <w:spacing w:before="240" w:after="120"/>
      </w:pPr>
      <w:r>
        <w:rPr>
          <w:rFonts w:ascii="Arial" w:hAnsi="Arial"/>
          <w:b/>
          <w:i w:val="0"/>
          <w:color w:val="1E293B"/>
          <w:sz w:val="26"/>
        </w:rPr>
        <w:t>5.3 Cross-Browser Usability Evaluation</w:t>
      </w:r>
    </w:p>
    <w:p>
      <w:pPr>
        <w:spacing w:before="0" w:after="120" w:line="276" w:lineRule="auto"/>
        <w:jc w:val="both"/>
      </w:pPr>
      <w:r>
        <w:rPr>
          <w:rFonts w:ascii="Arial" w:hAnsi="Arial"/>
          <w:b w:val="0"/>
          <w:i w:val="0"/>
          <w:color w:val="0F172A"/>
          <w:sz w:val="22"/>
        </w:rPr>
        <w:t>The web application was evaluated across multiple desktop and mobile viewports, including Google Chrome (v124), Microsoft Edge (v124), Mozilla Firefox (v125), and Mobile Safari. All layout components displayed zero horizontal overflow, touch navigation targets met accessibility standards (&gt;44px), and color contrast ratios satisfied WCAG AA guidelines.</w:t>
      </w:r>
    </w:p>
    <w:p>
      <w:pPr>
        <w:pStyle w:val="Heading1"/>
        <w:keepNext/>
        <w:spacing w:before="320" w:after="160"/>
      </w:pPr>
      <w:r>
        <w:rPr>
          <w:rFonts w:ascii="Arial" w:hAnsi="Arial"/>
          <w:b/>
          <w:i w:val="0"/>
          <w:color w:val="0E7490"/>
          <w:sz w:val="30"/>
        </w:rPr>
        <w:t>CHAPTER 6: RESULTS AND DISCUSSION</w:t>
      </w:r>
    </w:p>
    <w:p>
      <w:pPr>
        <w:pStyle w:val="Heading2"/>
        <w:keepNext/>
        <w:spacing w:before="240" w:after="120"/>
      </w:pPr>
      <w:r>
        <w:rPr>
          <w:rFonts w:ascii="Arial" w:hAnsi="Arial"/>
          <w:b/>
          <w:i w:val="0"/>
          <w:color w:val="1E293B"/>
          <w:sz w:val="26"/>
        </w:rPr>
        <w:t>6.1 System Demonstration</w:t>
      </w:r>
    </w:p>
    <w:p>
      <w:pPr>
        <w:spacing w:before="0" w:after="120" w:line="276" w:lineRule="auto"/>
        <w:jc w:val="both"/>
      </w:pPr>
      <w:r>
        <w:rPr>
          <w:rFonts w:ascii="Arial" w:hAnsi="Arial"/>
          <w:b w:val="0"/>
          <w:i w:val="0"/>
          <w:color w:val="0F172A"/>
          <w:sz w:val="22"/>
        </w:rPr>
        <w:t>The operational lifecycle of SmartPrep is illustrated below through the three-phase demonstration pipeline: Input Parameter Setup, Core State Processing, and Real-Time Output Analytics.</w:t>
      </w:r>
    </w:p>
    <w:tbl>
      <w:tblPr>
        <w:tblW w:type="auto" w:w="0"/>
        <w:jc w:val="center"/>
        <w:tblLook w:firstColumn="1" w:firstRow="1" w:lastColumn="0" w:lastRow="0" w:noHBand="0" w:noVBand="1" w:val="04A0"/>
      </w:tblPr>
      <w:tblGrid>
        <w:gridCol w:w="2769"/>
        <w:gridCol w:w="2769"/>
        <w:gridCol w:w="2769"/>
      </w:tblGrid>
      <w:tr>
        <w:tc>
          <w:tcPr>
            <w:tcW w:type="dxa" w:w="2769"/>
          </w:tcPr>
          <w:p>
            <w:pPr>
              <w:jc w:val="center"/>
            </w:pPr>
            <w:r>
              <w:drawing>
                <wp:inline>
                  <wp:extent cx="1828800" cy="2286000"/>
                  <wp:docPr id="5" name="Picture 5"/>
                  <wp:cNvGraphicFramePr>
                    <a:graphicFrameLocks noChangeAspect="1"/>
                  </wp:cNvGraphicFramePr>
                  <a:graphic>
                    <a:graphicData uri="http://schemas.openxmlformats.org/drawingml/2006/picture">
                      <pic:pic>
                        <pic:nvPicPr>
                          <pic:cNvPr id="0" name="smartprep_input.png"/>
                          <pic:cNvPicPr/>
                        </pic:nvPicPr>
                        <pic:blipFill>
                          <a:blip r:embed="rId16"/>
                          <a:stretch>
                            <a:fillRect/>
                          </a:stretch>
                        </pic:blipFill>
                        <pic:spPr>
                          <a:xfrm>
                            <a:off x="0" y="0"/>
                            <a:ext cx="1828800" cy="2286000"/>
                          </a:xfrm>
                          <a:prstGeom prst="rect"/>
                        </pic:spPr>
                      </pic:pic>
                    </a:graphicData>
                  </a:graphic>
                </wp:inline>
              </w:drawing>
            </w:r>
          </w:p>
        </w:tc>
        <w:tc>
          <w:tcPr>
            <w:tcW w:type="dxa" w:w="2769"/>
          </w:tcPr>
          <w:p>
            <w:pPr>
              <w:jc w:val="center"/>
            </w:pPr>
            <w:r>
              <w:drawing>
                <wp:inline>
                  <wp:extent cx="1828800" cy="2286000"/>
                  <wp:docPr id="6" name="Picture 6"/>
                  <wp:cNvGraphicFramePr>
                    <a:graphicFrameLocks noChangeAspect="1"/>
                  </wp:cNvGraphicFramePr>
                  <a:graphic>
                    <a:graphicData uri="http://schemas.openxmlformats.org/drawingml/2006/picture">
                      <pic:pic>
                        <pic:nvPicPr>
                          <pic:cNvPr id="0" name="smartprep_processing.png"/>
                          <pic:cNvPicPr/>
                        </pic:nvPicPr>
                        <pic:blipFill>
                          <a:blip r:embed="rId17"/>
                          <a:stretch>
                            <a:fillRect/>
                          </a:stretch>
                        </pic:blipFill>
                        <pic:spPr>
                          <a:xfrm>
                            <a:off x="0" y="0"/>
                            <a:ext cx="1828800" cy="2286000"/>
                          </a:xfrm>
                          <a:prstGeom prst="rect"/>
                        </pic:spPr>
                      </pic:pic>
                    </a:graphicData>
                  </a:graphic>
                </wp:inline>
              </w:drawing>
            </w:r>
          </w:p>
        </w:tc>
        <w:tc>
          <w:tcPr>
            <w:tcW w:type="dxa" w:w="2769"/>
          </w:tcPr>
          <w:p>
            <w:pPr>
              <w:jc w:val="center"/>
            </w:pPr>
            <w:r>
              <w:drawing>
                <wp:inline>
                  <wp:extent cx="1828800" cy="2286000"/>
                  <wp:docPr id="7" name="Picture 7"/>
                  <wp:cNvGraphicFramePr>
                    <a:graphicFrameLocks noChangeAspect="1"/>
                  </wp:cNvGraphicFramePr>
                  <a:graphic>
                    <a:graphicData uri="http://schemas.openxmlformats.org/drawingml/2006/picture">
                      <pic:pic>
                        <pic:nvPicPr>
                          <pic:cNvPr id="0" name="smartprep_output.png"/>
                          <pic:cNvPicPr/>
                        </pic:nvPicPr>
                        <pic:blipFill>
                          <a:blip r:embed="rId18"/>
                          <a:stretch>
                            <a:fillRect/>
                          </a:stretch>
                        </pic:blipFill>
                        <pic:spPr>
                          <a:xfrm>
                            <a:off x="0" y="0"/>
                            <a:ext cx="1828800" cy="2286000"/>
                          </a:xfrm>
                          <a:prstGeom prst="rect"/>
                        </pic:spPr>
                      </pic:pic>
                    </a:graphicData>
                  </a:graphic>
                </wp:inline>
              </w:drawing>
            </w:r>
          </w:p>
        </w:tc>
      </w:tr>
    </w:tbl>
    <w:p>
      <w:pPr>
        <w:spacing w:before="0" w:after="240" w:line="276" w:lineRule="auto"/>
        <w:jc w:val="center"/>
      </w:pPr>
      <w:r>
        <w:rPr>
          <w:rFonts w:ascii="Arial" w:hAnsi="Arial"/>
          <w:b/>
          <w:i/>
          <w:color w:val="64748B"/>
          <w:sz w:val="19"/>
        </w:rPr>
        <w:t>Figure 6.1: SmartPrep Demonstration Pipeline (Input -&gt; Processing -&gt; Output)</w:t>
      </w:r>
    </w:p>
    <w:p>
      <w:pPr>
        <w:pStyle w:val="Heading2"/>
        <w:keepNext/>
        <w:spacing w:before="240" w:after="120"/>
      </w:pPr>
      <w:r>
        <w:rPr>
          <w:rFonts w:ascii="Arial" w:hAnsi="Arial"/>
          <w:b/>
          <w:i w:val="0"/>
          <w:color w:val="1E293B"/>
          <w:sz w:val="26"/>
        </w:rPr>
        <w:t>6.2 Performance Benchmarking</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Production Build Performance: </w:t>
      </w:r>
      <w:r>
        <w:rPr>
          <w:rFonts w:ascii="Arial" w:hAnsi="Arial"/>
          <w:b w:val="0"/>
          <w:i w:val="0"/>
          <w:color w:val="0F172A"/>
          <w:sz w:val="22"/>
        </w:rPr>
        <w:t>Vite 8 bundled the entire application (45 modules) into production assets in just 681 ms, generating a total gzipped JavaScript footprint of 100.27 KB and CSS footprint of 3.84 KB.</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Runtime Client Latency: </w:t>
      </w:r>
      <w:r>
        <w:rPr>
          <w:rFonts w:ascii="Arial" w:hAnsi="Arial"/>
          <w:b w:val="0"/>
          <w:i w:val="0"/>
          <w:color w:val="0F172A"/>
          <w:sz w:val="22"/>
        </w:rPr>
        <w:t>DOM reconciliation and stage unlocking occur in &lt;15 ms, delivering a 60 FPS fluid user experience on both desktop and low-powered mobile devices.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Offline Reliability: </w:t>
      </w:r>
      <w:r>
        <w:rPr>
          <w:rFonts w:ascii="Arial" w:hAnsi="Arial"/>
          <w:b w:val="0"/>
          <w:i w:val="0"/>
          <w:color w:val="0F172A"/>
          <w:sz w:val="22"/>
        </w:rPr>
        <w:t>100% of core features—including AI queries, diagnostic scoring, and roadmap progression—execute completely without an internet connection.</w:t>
      </w:r>
    </w:p>
    <w:p>
      <w:pPr>
        <w:pStyle w:val="Heading2"/>
        <w:keepNext/>
        <w:spacing w:before="240" w:after="120"/>
      </w:pPr>
      <w:r>
        <w:rPr>
          <w:rFonts w:ascii="Arial" w:hAnsi="Arial"/>
          <w:b/>
          <w:i w:val="0"/>
          <w:color w:val="1E293B"/>
          <w:sz w:val="26"/>
        </w:rPr>
        <w:t>6.3 Fulfillment of Project Objectives</w:t>
      </w:r>
    </w:p>
    <w:p>
      <w:pPr>
        <w:spacing w:before="0" w:after="120" w:line="276" w:lineRule="auto"/>
        <w:jc w:val="both"/>
      </w:pPr>
      <w:r>
        <w:rPr>
          <w:rFonts w:ascii="Arial" w:hAnsi="Arial"/>
          <w:b w:val="0"/>
          <w:i w:val="0"/>
          <w:color w:val="0F172A"/>
          <w:sz w:val="22"/>
        </w:rPr>
        <w:t>All five primary objectives established during Review-01 have been completely satisfied. The system delivers a functional, user-tested, and pedagogically sound platform that protects undergraduate engineering students from cognitive overload.</w:t>
      </w:r>
    </w:p>
    <w:p>
      <w:pPr>
        <w:pStyle w:val="Heading1"/>
        <w:keepNext/>
        <w:spacing w:before="320" w:after="160"/>
      </w:pPr>
      <w:r>
        <w:rPr>
          <w:rFonts w:ascii="Arial" w:hAnsi="Arial"/>
          <w:b/>
          <w:i w:val="0"/>
          <w:color w:val="0E7490"/>
          <w:sz w:val="30"/>
        </w:rPr>
        <w:t>CHAPTER 7: CONCLUSION AND FUTURE SCOPE</w:t>
      </w:r>
    </w:p>
    <w:p>
      <w:pPr>
        <w:pStyle w:val="Heading2"/>
        <w:keepNext/>
        <w:spacing w:before="240" w:after="120"/>
      </w:pPr>
      <w:r>
        <w:rPr>
          <w:rFonts w:ascii="Arial" w:hAnsi="Arial"/>
          <w:b/>
          <w:i w:val="0"/>
          <w:color w:val="1E293B"/>
          <w:sz w:val="26"/>
        </w:rPr>
        <w:t>7.1 Conclusion</w:t>
      </w:r>
    </w:p>
    <w:p>
      <w:pPr>
        <w:spacing w:before="0" w:after="120" w:line="276" w:lineRule="auto"/>
        <w:jc w:val="both"/>
      </w:pPr>
      <w:r>
        <w:rPr>
          <w:rFonts w:ascii="Arial" w:hAnsi="Arial"/>
          <w:b w:val="0"/>
          <w:i w:val="0"/>
          <w:color w:val="0F172A"/>
          <w:sz w:val="22"/>
        </w:rPr>
        <w:t>The SmartPrep mini project successfully demonstrates the design, development, and validation of an AI-guided Career Learning Operating System. By formalizing learning curricula as prerequisite Directed Acyclic Graphs and pairing them with a zero-latency local AI Kernel, SmartPrep solves the critical challenge of curricular fragmentation and premature advancement. The application stands fully verified with a 100% test pass rate, robust client persistence, and complete responsive design.</w:t>
      </w:r>
    </w:p>
    <w:p>
      <w:pPr>
        <w:pStyle w:val="Heading2"/>
        <w:keepNext/>
        <w:spacing w:before="240" w:after="120"/>
      </w:pPr>
      <w:r>
        <w:rPr>
          <w:rFonts w:ascii="Arial" w:hAnsi="Arial"/>
          <w:b/>
          <w:i w:val="0"/>
          <w:color w:val="1E293B"/>
          <w:sz w:val="26"/>
        </w:rPr>
        <w:t>7.2 Prototype Limitations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Single-Device Data Isolation: </w:t>
      </w:r>
      <w:r>
        <w:rPr>
          <w:rFonts w:ascii="Arial" w:hAnsi="Arial"/>
          <w:b w:val="0"/>
          <w:i w:val="0"/>
          <w:color w:val="0F172A"/>
          <w:sz w:val="22"/>
        </w:rPr>
        <w:t>Current progress is stored in browser LocalStorage and does not automatically sync across multiple physical devices.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Rule-Based AI Engine: </w:t>
      </w:r>
      <w:r>
        <w:rPr>
          <w:rFonts w:ascii="Arial" w:hAnsi="Arial"/>
          <w:b w:val="0"/>
          <w:i w:val="0"/>
          <w:color w:val="0F172A"/>
          <w:sz w:val="22"/>
        </w:rPr>
        <w:t>The AI Kernel operates on deterministic pedagogical heuristics rather than dynamic generative natural language models.</w:t>
      </w:r>
    </w:p>
    <w:p>
      <w:pPr>
        <w:pStyle w:val="Heading2"/>
        <w:keepNext/>
        <w:spacing w:before="240" w:after="120"/>
      </w:pPr>
      <w:r>
        <w:rPr>
          <w:rFonts w:ascii="Arial" w:hAnsi="Arial"/>
          <w:b/>
          <w:i w:val="0"/>
          <w:color w:val="1E293B"/>
          <w:sz w:val="26"/>
        </w:rPr>
        <w:t>7.3 Future Scope</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Full Cloud Backend: </w:t>
      </w:r>
      <w:r>
        <w:rPr>
          <w:rFonts w:ascii="Arial" w:hAnsi="Arial"/>
          <w:b w:val="0"/>
          <w:i w:val="0"/>
          <w:color w:val="0F172A"/>
          <w:sz w:val="22"/>
        </w:rPr>
        <w:t>Integrate a Spring Boot / Node.js REST API with a managed PostgreSQL database (Supabase) and JWT/OAuth authentication for multi-device sync.</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Generative LLM Integration: </w:t>
      </w:r>
      <w:r>
        <w:rPr>
          <w:rFonts w:ascii="Arial" w:hAnsi="Arial"/>
          <w:b w:val="0"/>
          <w:i w:val="0"/>
          <w:color w:val="0F172A"/>
          <w:sz w:val="22"/>
        </w:rPr>
        <w:t>Connect Google Gemini API to enable automated source code evaluation, dynamic LeetCode hint generation, and AI-powered mock technical interviews.</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Peer Social Pods &amp; Leaderboards: </w:t>
      </w:r>
      <w:r>
        <w:rPr>
          <w:rFonts w:ascii="Arial" w:hAnsi="Arial"/>
          <w:b w:val="0"/>
          <w:i w:val="0"/>
          <w:color w:val="0F172A"/>
          <w:sz w:val="22"/>
        </w:rPr>
        <w:t>Introduce collaborative peer study rooms, campus-wide streak rankings, and college leaderboards to drive peer accountability.</w:t>
      </w:r>
    </w:p>
    <w:p>
      <w:pPr>
        <w:spacing w:before="40" w:after="80" w:line="276" w:lineRule="auto"/>
        <w:ind w:left="360"/>
      </w:pPr>
      <w:r>
        <w:rPr>
          <w:rFonts w:ascii="Arial" w:hAnsi="Arial"/>
          <w:b/>
          <w:i w:val="0"/>
          <w:color w:val="0E7490"/>
          <w:sz w:val="22"/>
        </w:rPr>
        <w:t xml:space="preserve">•  </w:t>
      </w:r>
      <w:r>
        <w:rPr>
          <w:rFonts w:ascii="Arial" w:hAnsi="Arial"/>
          <w:b/>
          <w:i w:val="0"/>
          <w:color w:val="0F172A"/>
          <w:sz w:val="22"/>
        </w:rPr>
        <w:t xml:space="preserve">Automated CI/CD Cloud Deployment: </w:t>
      </w:r>
      <w:r>
        <w:rPr>
          <w:rFonts w:ascii="Arial" w:hAnsi="Arial"/>
          <w:b w:val="0"/>
          <w:i w:val="0"/>
          <w:color w:val="0F172A"/>
          <w:sz w:val="22"/>
        </w:rPr>
        <w:t>Establish automated GitHub Actions pipelines to deploy preview branches directly to Vercel and Railway production clusters.</w:t>
      </w:r>
    </w:p>
    <w:p>
      <w:pPr>
        <w:pStyle w:val="Heading1"/>
        <w:keepNext/>
        <w:spacing w:before="320" w:after="160"/>
      </w:pPr>
      <w:r>
        <w:rPr>
          <w:rFonts w:ascii="Arial" w:hAnsi="Arial"/>
          <w:b/>
          <w:i w:val="0"/>
          <w:color w:val="0E7490"/>
          <w:sz w:val="30"/>
        </w:rPr>
        <w:t>REFERENCES</w:t>
      </w:r>
    </w:p>
    <w:p>
      <w:pPr>
        <w:spacing w:before="40" w:after="120" w:line="276" w:lineRule="auto"/>
        <w:ind w:left="432"/>
        <w:jc w:val="both"/>
      </w:pPr>
      <w:r>
        <w:rPr>
          <w:rFonts w:ascii="Arial" w:hAnsi="Arial"/>
          <w:b w:val="0"/>
          <w:i w:val="0"/>
          <w:color w:val="0F172A"/>
          <w:sz w:val="22"/>
        </w:rPr>
        <w:t>[1]  E. Gamma, R. Helm, R. Johnson, and J. Vlissides, Design Patterns: Elements of Reusable Object-Oriented Software. Reading, MA: Addison-Wesley, 1994.</w:t>
      </w:r>
    </w:p>
    <w:p>
      <w:pPr>
        <w:spacing w:before="40" w:after="120" w:line="276" w:lineRule="auto"/>
        <w:ind w:left="432"/>
        <w:jc w:val="both"/>
      </w:pPr>
      <w:r>
        <w:rPr>
          <w:rFonts w:ascii="Arial" w:hAnsi="Arial"/>
          <w:b w:val="0"/>
          <w:i w:val="0"/>
          <w:color w:val="0F172A"/>
          <w:sz w:val="22"/>
        </w:rPr>
        <w:t>[2]  A. Banks and E. Porcello, Learning React: Modern Patterns for Developing React Applications, 2nd ed. Sebastopol, CA: O'Reilly Media, 2020.</w:t>
      </w:r>
    </w:p>
    <w:p>
      <w:pPr>
        <w:spacing w:before="40" w:after="120" w:line="276" w:lineRule="auto"/>
        <w:ind w:left="432"/>
        <w:jc w:val="both"/>
      </w:pPr>
      <w:r>
        <w:rPr>
          <w:rFonts w:ascii="Arial" w:hAnsi="Arial"/>
          <w:b w:val="0"/>
          <w:i w:val="0"/>
          <w:color w:val="0F172A"/>
          <w:sz w:val="22"/>
        </w:rPr>
        <w:t>[3]  T. H. Cormen, C. E. Leiserson, R. L. Rivest, and C. Stein, Introduction to Algorithms, 4th ed. Cambridge, MA: MIT Press, 2022.</w:t>
      </w:r>
    </w:p>
    <w:p>
      <w:pPr>
        <w:spacing w:before="40" w:after="120" w:line="276" w:lineRule="auto"/>
        <w:ind w:left="432"/>
        <w:jc w:val="both"/>
      </w:pPr>
      <w:r>
        <w:rPr>
          <w:rFonts w:ascii="Arial" w:hAnsi="Arial"/>
          <w:b w:val="0"/>
          <w:i w:val="0"/>
          <w:color w:val="0F172A"/>
          <w:sz w:val="22"/>
        </w:rPr>
        <w:t>[4]  IEEE Standard for Software Engineering — Software Life Cycle Processes, IEEE Std 12207-2017, pp. 1–138, Nov. 2017.</w:t>
      </w:r>
    </w:p>
    <w:p>
      <w:pPr>
        <w:spacing w:before="40" w:after="120" w:line="276" w:lineRule="auto"/>
        <w:ind w:left="432"/>
        <w:jc w:val="both"/>
      </w:pPr>
      <w:r>
        <w:rPr>
          <w:rFonts w:ascii="Arial" w:hAnsi="Arial"/>
          <w:b w:val="0"/>
          <w:i w:val="0"/>
          <w:color w:val="0F172A"/>
          <w:sz w:val="22"/>
        </w:rPr>
        <w:t>[5]  Vite Core Team, "Next Generation Frontend Tooling," Vite Documentation, 2024. [Online]. Available: https://vite.dev.</w:t>
      </w:r>
    </w:p>
    <w:p>
      <w:pPr>
        <w:spacing w:before="40" w:after="120" w:line="276" w:lineRule="auto"/>
        <w:ind w:left="432"/>
        <w:jc w:val="both"/>
      </w:pPr>
      <w:r>
        <w:rPr>
          <w:rFonts w:ascii="Arial" w:hAnsi="Arial"/>
          <w:b w:val="0"/>
          <w:i w:val="0"/>
          <w:color w:val="0F172A"/>
          <w:sz w:val="22"/>
        </w:rPr>
        <w:t>[6]  React Core Team, "React Documentation — Components, State and Context," Meta Platforms, 2024. [Online]. Available: https://react.dev.</w:t>
      </w:r>
    </w:p>
    <w:p>
      <w:pPr>
        <w:spacing w:before="40" w:after="120" w:line="276" w:lineRule="auto"/>
        <w:ind w:left="432"/>
        <w:jc w:val="both"/>
      </w:pPr>
      <w:r>
        <w:rPr>
          <w:rFonts w:ascii="Arial" w:hAnsi="Arial"/>
          <w:b w:val="0"/>
          <w:i w:val="0"/>
          <w:color w:val="0F172A"/>
          <w:sz w:val="22"/>
        </w:rPr>
        <w:t>[7]  Tailwind Labs, "Tailwind CSS Documentation — Modern Utility Styling," 2024. [Online]. Available: https://tailwindcss.com.</w:t>
      </w:r>
    </w:p>
    <w:p>
      <w:pPr>
        <w:spacing w:before="40" w:after="120" w:line="276" w:lineRule="auto"/>
        <w:ind w:left="432"/>
        <w:jc w:val="both"/>
      </w:pPr>
      <w:r>
        <w:rPr>
          <w:rFonts w:ascii="Arial" w:hAnsi="Arial"/>
          <w:b w:val="0"/>
          <w:i w:val="0"/>
          <w:color w:val="0F172A"/>
          <w:sz w:val="22"/>
        </w:rPr>
        <w:t>[8]  World Wide Web Consortium (W3C), "Web Audio API Specification," W3C Recommendation, 2021. [Online]. Available: https://www.w3.org/TR/webaudio/.</w:t>
      </w:r>
    </w:p>
    <w:p>
      <w:pPr>
        <w:pStyle w:val="Heading1"/>
        <w:keepNext/>
        <w:spacing w:before="320" w:after="160"/>
      </w:pPr>
      <w:r>
        <w:rPr>
          <w:rFonts w:ascii="Arial" w:hAnsi="Arial"/>
          <w:b/>
          <w:i w:val="0"/>
          <w:color w:val="0E7490"/>
          <w:sz w:val="30"/>
        </w:rPr>
        <w:t>APPENDIX</w:t>
      </w:r>
    </w:p>
    <w:p>
      <w:pPr>
        <w:pStyle w:val="Heading2"/>
        <w:keepNext/>
        <w:spacing w:before="240" w:after="120"/>
      </w:pPr>
      <w:r>
        <w:rPr>
          <w:rFonts w:ascii="Arial" w:hAnsi="Arial"/>
          <w:b/>
          <w:i w:val="0"/>
          <w:color w:val="1E293B"/>
          <w:sz w:val="26"/>
        </w:rPr>
        <w:t>A.1 Project Configuration (package.json)</w:t>
      </w:r>
    </w:p>
    <w:p>
      <w:pPr>
        <w:spacing w:before="80" w:after="120"/>
        <w:ind w:left="432" w:right="432"/>
      </w:pPr>
      <w:r>
        <w:rPr>
          <w:rFonts w:ascii="Consolas" w:hAnsi="Consolas"/>
          <w:b w:val="0"/>
          <w:i w:val="0"/>
          <w:color w:val="0F172A"/>
          <w:sz w:val="19"/>
        </w:rPr>
        <w:t>{</w:t>
        <w:br/>
        <w:t xml:space="preserve">  "name": "smartprep",</w:t>
        <w:br/>
        <w:t xml:space="preserve">  "private": true,</w:t>
        <w:br/>
        <w:t xml:space="preserve">  "version": "1.0.0",</w:t>
        <w:br/>
        <w:t xml:space="preserve">  "type": "module",</w:t>
        <w:br/>
        <w:t xml:space="preserve">  "scripts": {</w:t>
        <w:br/>
        <w:t xml:space="preserve">    "dev": "vite",</w:t>
        <w:br/>
        <w:t xml:space="preserve">    "build": "vite build",</w:t>
        <w:br/>
        <w:t xml:space="preserve">    "lint": "oxlint",</w:t>
        <w:br/>
        <w:t xml:space="preserve">    "preview": "vite preview",</w:t>
        <w:br/>
        <w:t xml:space="preserve">    "start": "vite preview --port 3000 --host"</w:t>
        <w:br/>
        <w:t xml:space="preserve">  },</w:t>
        <w:br/>
        <w:t xml:space="preserve">  "dependencies": {</w:t>
        <w:br/>
        <w:t xml:space="preserve">    "@tailwindcss/vite": "^4.3.3",</w:t>
        <w:br/>
        <w:t xml:space="preserve">    "react": "^19.2.8",</w:t>
        <w:br/>
        <w:t xml:space="preserve">    "react-dom": "^19.2.8",</w:t>
        <w:br/>
        <w:t xml:space="preserve">    "react-router-dom": "^7.18.4",</w:t>
        <w:br/>
        <w:t xml:space="preserve">    "tailwindcss": "^4.3.3"</w:t>
        <w:br/>
        <w:t xml:space="preserve">  }</w:t>
        <w:br/>
        <w:t>}</w:t>
      </w:r>
    </w:p>
    <w:p>
      <w:pPr>
        <w:pStyle w:val="Heading2"/>
        <w:keepNext/>
        <w:spacing w:before="240" w:after="120"/>
      </w:pPr>
      <w:r>
        <w:rPr>
          <w:rFonts w:ascii="Arial" w:hAnsi="Arial"/>
          <w:b/>
          <w:i w:val="0"/>
          <w:color w:val="1E293B"/>
          <w:sz w:val="26"/>
        </w:rPr>
        <w:t>A.2 Cloud Routing Configuration (vercel.json)</w:t>
      </w:r>
    </w:p>
    <w:p>
      <w:pPr>
        <w:spacing w:before="80" w:after="120"/>
        <w:ind w:left="432" w:right="432"/>
      </w:pPr>
      <w:r>
        <w:rPr>
          <w:rFonts w:ascii="Consolas" w:hAnsi="Consolas"/>
          <w:b w:val="0"/>
          <w:i w:val="0"/>
          <w:color w:val="0F172A"/>
          <w:sz w:val="19"/>
        </w:rPr>
        <w:t>{</w:t>
        <w:br/>
        <w:t xml:space="preserve">  "rewrites": [</w:t>
        <w:br/>
        <w:t xml:space="preserve">    {</w:t>
        <w:br/>
        <w:t xml:space="preserve">      "source": "/(.*)",</w:t>
        <w:br/>
        <w:t xml:space="preserve">      "destination": "/index.html"</w:t>
        <w:br/>
        <w:t xml:space="preserve">    }</w:t>
        <w:br/>
        <w:t xml:space="preserve">  ]</w:t>
        <w:br/>
        <w:t>}</w:t>
      </w:r>
    </w:p>
    <w:sectPr>
      <w:footerReference r:id="rId13" w:type="default"/>
      <w:type w:val="nextPage"/>
      <w:pgSz w:h="16838" w:w="11906" w:orient="portrait"/>
      <w:pgMar w:bottom="1440" w:top="1440" w:left="2160" w:right="1440" w:header="720" w:footer="6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0" w:line="360" w:lineRule="auto"/>
      <w:jc w:val="center"/>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spacing w:after="120" w:before="24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spacing w:after="80" w:before="200" w:line="36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https://www.cse.iitk.ac.in/users/biometric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