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6"/>
        </w:rPr>
        <w:t>Abstract</w:t>
      </w:r>
    </w:p>
    <w:p>
      <w:pPr>
        <w:jc w:val="both"/>
      </w:pPr>
      <w:r>
        <w:rPr>
          <w:rFonts w:ascii="Calibri" w:hAnsi="Calibri"/>
          <w:sz w:val="22"/>
        </w:rPr>
        <w:t>This project presents the development of a comprehensive Security Operations Center (SOC) and Security Information and Event Management (SIEM) platform designed for real-time network traffic analysis and threat hunting. Built on a modern technology stack featuring a high-performance Python/FastAPI backend and a dynamic React frontend, the system is engineered to monitor live network interfaces as well as analyze historical PCAP files.</w:t>
      </w:r>
    </w:p>
    <w:p>
      <w:pPr>
        <w:jc w:val="both"/>
      </w:pPr>
      <w:r>
        <w:rPr>
          <w:rFonts w:ascii="Calibri" w:hAnsi="Calibri"/>
          <w:sz w:val="22"/>
        </w:rPr>
        <w:t>At its core, the platform utilizes advanced Deep Packet Inspection (DPI) techniques to capture and analyze raw network packets across multiple OSI layers. It goes beyond traditional Layer 3 and 4 header analysis by extracting critical Layer 7 application metadata, such as HTTP request methods, DNS query resolutions, and TLS Server Name Indications (SNI), providing granular visibility into network flows. To dynamically identify malicious actors and suspicious connections, the system integrates seamlessly with open-source threat intelligence feeds and supports external OSINT lookups via services like VirusTotal and AbuseIPDB.</w:t>
      </w:r>
    </w:p>
    <w:p>
      <w:pPr>
        <w:jc w:val="both"/>
      </w:pPr>
      <w:r>
        <w:rPr>
          <w:rFonts w:ascii="Calibri" w:hAnsi="Calibri"/>
          <w:sz w:val="22"/>
        </w:rPr>
        <w:t>To facilitate rapid incident response and threat visualization, the platform employs a rich set of interactive dashboards. These include geographic network mapping to visually trace the origin of global traffic, timeline reconstructions of attack campaigns, and automated correlation of security alerts to the MITRE ATT&amp;CK framework (e.g., identifying Reconnaissance and Command &amp; Control tactics). Furthermore, the system empowers administrators with active mitigation capabilities through custom domain-based firewall blocking, interacting directly with the host machine's packet filter to sever malicious connections instantly. Ultimately, this unified approach provides network administrators with unparalleled network visibility, proactive threat hunting capabilities, and robust defense mechanisms against contemporary cyber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