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line="360" w:lineRule="auto"/>
      </w:pPr>
    </w:p>
    <w:p>
      <w:pPr>
        <w:spacing w:after="200" w:before="0" w:line="360" w:lineRule="auto"/>
        <w:jc w:val="center"/>
      </w:pPr>
      <w:r>
        <w:rPr>
          <w:rFonts w:ascii="Times New Roman" w:cs="Times New Roman" w:eastAsia="Times New Roman" w:hAnsi="Times New Roman"/>
          <w:b/>
          <w:bCs/>
          <w:sz w:val="32"/>
          <w:szCs w:val="32"/>
        </w:rPr>
        <w:t xml:space="preserve">SMART MICROGRID ENERGY MANAGEMENT SYSTEM</w:t>
      </w:r>
    </w:p>
    <w:p>
      <w:pPr>
        <w:spacing w:after="200" w:before="0" w:line="360" w:lineRule="auto"/>
        <w:jc w:val="center"/>
      </w:pPr>
      <w:r>
        <w:rPr>
          <w:rFonts w:ascii="Times New Roman" w:cs="Times New Roman" w:eastAsia="Times New Roman" w:hAnsi="Times New Roman"/>
          <w:b/>
          <w:bCs/>
          <w:sz w:val="32"/>
          <w:szCs w:val="32"/>
        </w:rPr>
        <w:t xml:space="preserve">USING DEEP REINFORCEMENT LEARNING</w:t>
      </w:r>
    </w:p>
    <w:p>
      <w:pPr>
        <w:spacing w:after="200" w:before="0" w:line="360" w:lineRule="auto"/>
      </w:pPr>
    </w:p>
    <w:p>
      <w:pPr>
        <w:spacing w:after="200" w:before="0" w:line="360" w:lineRule="auto"/>
        <w:jc w:val="center"/>
      </w:pPr>
      <w:r>
        <w:rPr>
          <w:rFonts w:ascii="Times New Roman" w:cs="Times New Roman" w:eastAsia="Times New Roman" w:hAnsi="Times New Roman"/>
          <w:i/>
          <w:iCs/>
          <w:sz w:val="24"/>
          <w:szCs w:val="24"/>
        </w:rPr>
        <w:t xml:space="preserve">Supplementary Technical Deep-Dive Document</w:t>
      </w:r>
    </w:p>
    <w:p>
      <w:pPr>
        <w:spacing w:after="200" w:before="0" w:line="360" w:lineRule="auto"/>
        <w:jc w:val="center"/>
      </w:pPr>
      <w:r>
        <w:rPr>
          <w:rFonts w:ascii="Times New Roman" w:cs="Times New Roman" w:eastAsia="Times New Roman" w:hAnsi="Times New Roman"/>
          <w:sz w:val="24"/>
          <w:szCs w:val="24"/>
        </w:rPr>
        <w:t xml:space="preserve">Dhruv Bansal | 22BEE0248 | B.Tech EEE | VIT Vellore</w:t>
      </w:r>
    </w:p>
    <w:p>
      <w:pPr>
        <w:spacing w:after="200" w:before="0" w:line="360" w:lineRule="auto"/>
        <w:jc w:val="center"/>
      </w:pPr>
      <w:r>
        <w:rPr>
          <w:rFonts w:ascii="Times New Roman" w:cs="Times New Roman" w:eastAsia="Times New Roman" w:hAnsi="Times New Roman"/>
          <w:sz w:val="24"/>
          <w:szCs w:val="24"/>
        </w:rPr>
        <w:t xml:space="preserve">Under the guidance of Dr. Janaki M</w:t>
      </w:r>
    </w:p>
    <w:p>
      <w:pPr>
        <w:spacing w:after="200" w:before="0" w:line="360" w:lineRule="auto"/>
        <w:jc w:val="center"/>
      </w:pPr>
      <w:r>
        <w:rPr>
          <w:rFonts w:ascii="Times New Roman" w:cs="Times New Roman" w:eastAsia="Times New Roman" w:hAnsi="Times New Roman"/>
          <w:sz w:val="24"/>
          <w:szCs w:val="24"/>
        </w:rPr>
        <w:t xml:space="preserve">May 2026</w:t>
      </w:r>
    </w:p>
    <w:p>
      <w:pPr>
        <w:spacing w:after="0" w:before="0" w:line="360" w:lineRule="auto"/>
      </w:pPr>
      <w:r>
        <w:br w:type="page"/>
      </w:r>
    </w:p>
    <w:p>
      <w:pPr>
        <w:spacing w:after="320" w:before="480" w:line="360" w:lineRule="auto"/>
        <w:jc w:val="center"/>
      </w:pPr>
      <w:r>
        <w:rPr>
          <w:rFonts w:ascii="Times New Roman" w:cs="Times New Roman" w:eastAsia="Times New Roman" w:hAnsi="Times New Roman"/>
          <w:b/>
          <w:bCs/>
          <w:sz w:val="32"/>
          <w:szCs w:val="32"/>
        </w:rPr>
        <w:t xml:space="preserve">SECTION 1: DEEP ANALYSIS OF EVERY DASHBOARD METRIC AND WHY EACH RESULT APPEARS</w:t>
      </w:r>
    </w:p>
    <w:p>
      <w:pPr>
        <w:spacing w:after="200" w:before="0" w:line="360" w:lineRule="auto"/>
        <w:jc w:val="both"/>
      </w:pPr>
      <w:r>
        <w:rPr>
          <w:rFonts w:ascii="Times New Roman" w:cs="Times New Roman" w:eastAsia="Times New Roman" w:hAnsi="Times New Roman"/>
          <w:sz w:val="24"/>
          <w:szCs w:val="24"/>
        </w:rPr>
        <w:t xml:space="preserve">The Smart Microgrid Control Room dashboard displays eleven distinct real-time metrics, each of which is computed from the underlying physics model and AI inference engine at every 1.5-second tick. This section provides an exhaustive explanation of each metric: what it measures, the precise formula used to compute it, why it displays the specific value shown at any given moment, and what that value means for the operator's decision-making context.</w:t>
      </w:r>
    </w:p>
    <w:p>
      <w:pPr>
        <w:spacing w:after="160" w:before="0" w:line="360" w:lineRule="auto"/>
      </w:pPr>
    </w:p>
    <w:p>
      <w:pPr>
        <w:spacing w:after="160" w:before="360" w:line="360" w:lineRule="auto"/>
        <w:jc w:val="left"/>
      </w:pPr>
      <w:r>
        <w:rPr>
          <w:rFonts w:ascii="Times New Roman" w:cs="Times New Roman" w:eastAsia="Times New Roman" w:hAnsi="Times New Roman"/>
          <w:sz w:val="28"/>
          <w:szCs w:val="28"/>
        </w:rPr>
        <w:t xml:space="preserve">1.1   Solar Generation (P_solar) — kW</w:t>
      </w:r>
    </w:p>
    <w:p>
      <w:pPr>
        <w:spacing w:after="200" w:before="0" w:line="360" w:lineRule="auto"/>
        <w:jc w:val="both"/>
      </w:pPr>
      <w:r>
        <w:rPr>
          <w:rFonts w:ascii="Times New Roman" w:cs="Times New Roman" w:eastAsia="Times New Roman" w:hAnsi="Times New Roman"/>
          <w:sz w:val="24"/>
          <w:szCs w:val="24"/>
        </w:rPr>
        <w:t xml:space="preserve">The solar generation metric displays the instantaneous power output of the photovoltaic array in kilowatts. It is computed at each timestep by scaling the raw Global Horizontal Irradiance (GHI) retrieved from the NASA POWER API against the rated peak capacity of the 55 kW array and a derating factor that accounts for panel temperature losses, wiring losses, and inverter conversion efficiency.</w:t>
      </w:r>
    </w:p>
    <w:p>
      <w:pPr>
        <w:spacing w:after="80" w:before="0" w:line="360" w:lineRule="auto"/>
      </w:pPr>
    </w:p>
    <w:p>
      <w:pPr>
        <w:spacing w:after="200" w:before="0" w:line="360" w:lineRule="auto"/>
        <w:jc w:val="both"/>
      </w:pPr>
      <w:r>
        <w:rPr>
          <w:rFonts w:ascii="Times New Roman" w:cs="Times New Roman" w:eastAsia="Times New Roman" w:hAnsi="Times New Roman"/>
          <w:b/>
          <w:bCs/>
          <w:sz w:val="24"/>
          <w:szCs w:val="24"/>
        </w:rPr>
        <w:t xml:space="preserve">Formula:   </w:t>
      </w:r>
      <w:r>
        <w:rPr>
          <w:rFonts w:ascii="Times New Roman" w:cs="Times New Roman" w:eastAsia="Times New Roman" w:hAnsi="Times New Roman"/>
          <w:sz w:val="24"/>
          <w:szCs w:val="24"/>
        </w:rPr>
        <w:t xml:space="preserve">P_solar,t  =  GHI_t  ×  (55 kW / GHI_STC)  ×  PR</w:t>
      </w:r>
    </w:p>
    <w:p>
      <w:pPr>
        <w:spacing w:after="200" w:before="0" w:line="360" w:lineRule="auto"/>
        <w:jc w:val="both"/>
      </w:pPr>
      <w:r>
        <w:rPr>
          <w:rFonts w:ascii="Times New Roman" w:cs="Times New Roman" w:eastAsia="Times New Roman" w:hAnsi="Times New Roman"/>
          <w:sz w:val="24"/>
          <w:szCs w:val="24"/>
        </w:rPr>
        <w:t xml:space="preserve">where GHI_STC = 1000 W/m2 is the standard test condition irradiance, and PR (Performance Ratio) is approximately 0.80 accounting for temperature coefficient losses, dust derating, and inverter efficiency. The metric reads near-zero between 20:00 and 05:00 (night hours), rises to its peak of approximately 44–50 kW between 11:00 and 14:00 on clear-sky days, and exhibits sharp transient drops when cloud-cover events pass over the array. These transient drops are the primary driver of LSTM forecasting complexity: a drop from 45 kW to 8 kW in a single hour represents an 83% generation loss that a rule-based controller cannot anticipate from a static schedule.</w:t>
      </w:r>
    </w:p>
    <w:p>
      <w:pPr>
        <w:spacing w:after="160" w:before="0" w:line="360" w:lineRule="auto"/>
      </w:pPr>
    </w:p>
    <w:p>
      <w:pPr>
        <w:spacing w:after="160" w:before="360" w:line="360" w:lineRule="auto"/>
        <w:jc w:val="left"/>
      </w:pPr>
      <w:r>
        <w:rPr>
          <w:rFonts w:ascii="Times New Roman" w:cs="Times New Roman" w:eastAsia="Times New Roman" w:hAnsi="Times New Roman"/>
          <w:sz w:val="28"/>
          <w:szCs w:val="28"/>
        </w:rPr>
        <w:t xml:space="preserve">1.2   Wind Generation (P_wind) — kW</w:t>
      </w:r>
    </w:p>
    <w:p>
      <w:pPr>
        <w:spacing w:after="200" w:before="0" w:line="360" w:lineRule="auto"/>
        <w:jc w:val="both"/>
      </w:pPr>
      <w:r>
        <w:rPr>
          <w:rFonts w:ascii="Times New Roman" w:cs="Times New Roman" w:eastAsia="Times New Roman" w:hAnsi="Times New Roman"/>
          <w:sz w:val="24"/>
          <w:szCs w:val="24"/>
        </w:rPr>
        <w:t xml:space="preserve">The wind generation metric represents the instantaneous power output of the modeled wind turbine array in kilowatts, derived from the wind speed at 10-metre elevation (WS10M) retrieved from NASA POWER and the turbine's power curve.</w:t>
      </w:r>
    </w:p>
    <w:p>
      <w:pPr>
        <w:spacing w:after="80" w:before="0" w:line="360" w:lineRule="auto"/>
      </w:pPr>
    </w:p>
    <w:p>
      <w:pPr>
        <w:spacing w:after="200" w:before="0" w:line="360" w:lineRule="auto"/>
        <w:jc w:val="both"/>
      </w:pPr>
      <w:r>
        <w:rPr>
          <w:rFonts w:ascii="Times New Roman" w:cs="Times New Roman" w:eastAsia="Times New Roman" w:hAnsi="Times New Roman"/>
          <w:b/>
          <w:bCs/>
          <w:sz w:val="24"/>
          <w:szCs w:val="24"/>
        </w:rPr>
        <w:t xml:space="preserve">Formula:   </w:t>
      </w:r>
      <w:r>
        <w:rPr>
          <w:rFonts w:ascii="Times New Roman" w:cs="Times New Roman" w:eastAsia="Times New Roman" w:hAnsi="Times New Roman"/>
          <w:sz w:val="24"/>
          <w:szCs w:val="24"/>
        </w:rPr>
        <w:t xml:space="preserve">P_wind,t  =  0.5  x  rho  x  A  x  Cp  x  WS10M_t^3  (bounded by rated capacity)</w:t>
      </w:r>
    </w:p>
    <w:p>
      <w:pPr>
        <w:spacing w:after="200" w:before="0" w:line="360" w:lineRule="auto"/>
        <w:jc w:val="both"/>
      </w:pPr>
      <w:r>
        <w:rPr>
          <w:rFonts w:ascii="Times New Roman" w:cs="Times New Roman" w:eastAsia="Times New Roman" w:hAnsi="Times New Roman"/>
          <w:sz w:val="24"/>
          <w:szCs w:val="24"/>
        </w:rPr>
        <w:t xml:space="preserve">where rho is air density (approximately 1.225 kg/m3), A is the rotor swept area, and Cp is the power coefficient (Betz efficiency, approximately 0.35–0.45 for modern turbines). In the simulation, wind contribution is smaller than solar but provides partial generation during nighttime and overcast periods when solar is unavailable — making it a critical complement to the solar array for reducing overnight grid dependence.</w:t>
      </w:r>
    </w:p>
    <w:p>
      <w:pPr>
        <w:spacing w:after="160" w:before="0" w:line="360" w:lineRule="auto"/>
      </w:pPr>
    </w:p>
    <w:p>
      <w:pPr>
        <w:spacing w:after="160" w:before="360" w:line="360" w:lineRule="auto"/>
        <w:jc w:val="left"/>
      </w:pPr>
      <w:r>
        <w:rPr>
          <w:rFonts w:ascii="Times New Roman" w:cs="Times New Roman" w:eastAsia="Times New Roman" w:hAnsi="Times New Roman"/>
          <w:sz w:val="28"/>
          <w:szCs w:val="28"/>
        </w:rPr>
        <w:t xml:space="preserve">1.3   Facility Load Demand (P_load) — kW</w:t>
      </w:r>
    </w:p>
    <w:p>
      <w:pPr>
        <w:spacing w:after="200" w:before="0" w:line="360" w:lineRule="auto"/>
        <w:jc w:val="both"/>
      </w:pPr>
      <w:r>
        <w:rPr>
          <w:rFonts w:ascii="Times New Roman" w:cs="Times New Roman" w:eastAsia="Times New Roman" w:hAnsi="Times New Roman"/>
          <w:sz w:val="24"/>
          <w:szCs w:val="24"/>
        </w:rPr>
        <w:t xml:space="preserve">The load demand metric shows the total electrical power consumed by the facility at the current timestep. In the simulation this is derived from the LSTM load forecaster which was trained to predict demand from meteorological indicators. The actual demand profile follows a well-characterised three-phase daily structure confirmed by the five-year EDA.</w:t>
      </w:r>
    </w:p>
    <w:p>
      <w:pPr>
        <w:spacing w:after="80" w:before="0" w:line="360" w:lineRule="auto"/>
      </w:pPr>
    </w:p>
    <w:p>
      <w:pPr>
        <w:spacing w:after="200" w:before="0" w:line="360" w:lineRule="auto"/>
        <w:jc w:val="both"/>
      </w:pPr>
      <w:r>
        <w:rPr>
          <w:rFonts w:ascii="Times New Roman" w:cs="Times New Roman" w:eastAsia="Times New Roman" w:hAnsi="Times New Roman"/>
          <w:b/>
          <w:bCs/>
          <w:sz w:val="24"/>
          <w:szCs w:val="24"/>
        </w:rPr>
        <w:t xml:space="preserve">Observed Profile:   </w:t>
      </w:r>
      <w:r>
        <w:rPr>
          <w:rFonts w:ascii="Times New Roman" w:cs="Times New Roman" w:eastAsia="Times New Roman" w:hAnsi="Times New Roman"/>
          <w:sz w:val="24"/>
          <w:szCs w:val="24"/>
        </w:rPr>
        <w:t xml:space="preserve">38 kW (22:00-06:00 overnight baseline)  |  60 kW (10:00-14:00 operational plateau)  |  120+ kW (18:00-21:00 HVAC-driven evening peak)</w:t>
      </w:r>
    </w:p>
    <w:p>
      <w:pPr>
        <w:spacing w:after="200" w:before="0" w:line="360" w:lineRule="auto"/>
        <w:jc w:val="both"/>
      </w:pPr>
      <w:r>
        <w:rPr>
          <w:rFonts w:ascii="Times New Roman" w:cs="Times New Roman" w:eastAsia="Times New Roman" w:hAnsi="Times New Roman"/>
          <w:sz w:val="24"/>
          <w:szCs w:val="24"/>
        </w:rPr>
        <w:t xml:space="preserve">The critical insight driving the entire project design is that the 120+ kW evening peak coincides exactly with zero solar generation (sunset) and the maximum grid tariff (Rs9.0-11.5/kWh). This triple coincidence makes the 18:00-22:00 window the highest-cost operating period in the entire 24-hour cycle. Every architectural decision — the LSTM look-ahead, the PPO training objective, the battery sizing — is oriented around ensuring the facility can survive this four-hour window on stored battery energy rather than expensive grid imports.</w:t>
      </w:r>
    </w:p>
    <w:p>
      <w:pPr>
        <w:spacing w:after="160" w:before="0" w:line="360" w:lineRule="auto"/>
      </w:pPr>
    </w:p>
    <w:p>
      <w:pPr>
        <w:spacing w:after="160" w:before="360" w:line="360" w:lineRule="auto"/>
        <w:jc w:val="left"/>
      </w:pPr>
      <w:r>
        <w:rPr>
          <w:rFonts w:ascii="Times New Roman" w:cs="Times New Roman" w:eastAsia="Times New Roman" w:hAnsi="Times New Roman"/>
          <w:sz w:val="28"/>
          <w:szCs w:val="28"/>
        </w:rPr>
        <w:t xml:space="preserve">1.4   Battery State of Charge (SoC) — %</w:t>
      </w:r>
    </w:p>
    <w:p>
      <w:pPr>
        <w:spacing w:after="200" w:before="0" w:line="360" w:lineRule="auto"/>
        <w:jc w:val="both"/>
      </w:pPr>
      <w:r>
        <w:rPr>
          <w:rFonts w:ascii="Times New Roman" w:cs="Times New Roman" w:eastAsia="Times New Roman" w:hAnsi="Times New Roman"/>
          <w:sz w:val="24"/>
          <w:szCs w:val="24"/>
        </w:rPr>
        <w:t xml:space="preserve">The SoC metric is the most operationally critical value on the dashboard. It represents the fraction of total energy currently stored in the 180 kWh lithium-ion BESS, expressed as a percentage of nominal capacity. It is updated at every timestep according to the electrochemical charge-balance equations that form the physical core of the simulation environment.</w:t>
      </w:r>
    </w:p>
    <w:p>
      <w:pPr>
        <w:spacing w:after="80" w:before="0" w:line="360" w:lineRule="auto"/>
      </w:pPr>
    </w:p>
    <w:p>
      <w:pPr>
        <w:spacing w:after="200" w:before="0" w:line="360" w:lineRule="auto"/>
        <w:jc w:val="both"/>
      </w:pPr>
      <w:r>
        <w:rPr>
          <w:rFonts w:ascii="Times New Roman" w:cs="Times New Roman" w:eastAsia="Times New Roman" w:hAnsi="Times New Roman"/>
          <w:b/>
          <w:bCs/>
          <w:sz w:val="24"/>
          <w:szCs w:val="24"/>
        </w:rPr>
        <w:t xml:space="preserve">Charge Formula (P_bat &lt; 0):   </w:t>
      </w:r>
      <w:r>
        <w:rPr>
          <w:rFonts w:ascii="Times New Roman" w:cs="Times New Roman" w:eastAsia="Times New Roman" w:hAnsi="Times New Roman"/>
          <w:sz w:val="24"/>
          <w:szCs w:val="24"/>
        </w:rPr>
        <w:t xml:space="preserve">SoC_(t+1)  =  SoC_t  +  (P_bat x Delta_t / C_max)  x  0.965  x  100</w:t>
      </w:r>
    </w:p>
    <w:p>
      <w:pPr>
        <w:spacing w:after="200" w:before="0" w:line="360" w:lineRule="auto"/>
        <w:jc w:val="both"/>
      </w:pPr>
      <w:r>
        <w:rPr>
          <w:rFonts w:ascii="Times New Roman" w:cs="Times New Roman" w:eastAsia="Times New Roman" w:hAnsi="Times New Roman"/>
          <w:b/>
          <w:bCs/>
          <w:sz w:val="24"/>
          <w:szCs w:val="24"/>
        </w:rPr>
        <w:t xml:space="preserve">Discharge Formula (P_bat &gt; 0):   </w:t>
      </w:r>
      <w:r>
        <w:rPr>
          <w:rFonts w:ascii="Times New Roman" w:cs="Times New Roman" w:eastAsia="Times New Roman" w:hAnsi="Times New Roman"/>
          <w:sz w:val="24"/>
          <w:szCs w:val="24"/>
        </w:rPr>
        <w:t xml:space="preserve">SoC_(t+1)  =  SoC_t  -  (P_bat x Delta_t) / (C_max x 0.965)  x  100</w:t>
      </w:r>
    </w:p>
    <w:p>
      <w:pPr>
        <w:spacing w:after="200" w:before="0" w:line="360" w:lineRule="auto"/>
        <w:jc w:val="both"/>
      </w:pPr>
      <w:r>
        <w:rPr>
          <w:rFonts w:ascii="Times New Roman" w:cs="Times New Roman" w:eastAsia="Times New Roman" w:hAnsi="Times New Roman"/>
          <w:sz w:val="24"/>
          <w:szCs w:val="24"/>
        </w:rPr>
        <w:t xml:space="preserve">The 0.965 efficiency coefficient reflects the thermal energy lost during lithium-ion intercalation (charging) and de-intercalation (discharging) reactions. For every 1 kWh of AC power drawn from the grid to charge the battery, only 0.965 kWh is stored as electrochemical potential energy; the remaining 0.035 kWh is dissipated as heat. This efficiency loss compounds over many cycles and represents a real economic cost that the DRL agent must factor into its arbitrage calculations. The dashboard displays SoC with a real-time progress indicator and colour transitions: green above 60%, amber between 30-60%, and red below 30% to immediately communicate reserve status to the operator.</w:t>
      </w:r>
    </w:p>
    <w:p>
      <w:pPr>
        <w:spacing w:after="160" w:before="0" w:line="360" w:lineRule="auto"/>
      </w:pPr>
    </w:p>
    <w:p>
      <w:pPr>
        <w:spacing w:after="160" w:before="360" w:line="360" w:lineRule="auto"/>
        <w:jc w:val="left"/>
      </w:pPr>
      <w:r>
        <w:rPr>
          <w:rFonts w:ascii="Times New Roman" w:cs="Times New Roman" w:eastAsia="Times New Roman" w:hAnsi="Times New Roman"/>
          <w:sz w:val="28"/>
          <w:szCs w:val="28"/>
        </w:rPr>
        <w:t xml:space="preserve">1.5   Grid Import (P_grid) — kW</w:t>
      </w:r>
    </w:p>
    <w:p>
      <w:pPr>
        <w:spacing w:after="200" w:before="0" w:line="360" w:lineRule="auto"/>
        <w:jc w:val="both"/>
      </w:pPr>
      <w:r>
        <w:rPr>
          <w:rFonts w:ascii="Times New Roman" w:cs="Times New Roman" w:eastAsia="Times New Roman" w:hAnsi="Times New Roman"/>
          <w:sz w:val="24"/>
          <w:szCs w:val="24"/>
        </w:rPr>
        <w:t xml:space="preserve">The grid import metric shows how much power the facility is currently drawing from the central macrogrid. It is computed as the residual after local renewable generation and battery discharge have been applied to meet facility demand.</w:t>
      </w:r>
    </w:p>
    <w:p>
      <w:pPr>
        <w:spacing w:after="80" w:before="0" w:line="360" w:lineRule="auto"/>
      </w:pPr>
    </w:p>
    <w:p>
      <w:pPr>
        <w:spacing w:after="200" w:before="0" w:line="360" w:lineRule="auto"/>
        <w:jc w:val="both"/>
      </w:pPr>
      <w:r>
        <w:rPr>
          <w:rFonts w:ascii="Times New Roman" w:cs="Times New Roman" w:eastAsia="Times New Roman" w:hAnsi="Times New Roman"/>
          <w:b/>
          <w:bCs/>
          <w:sz w:val="24"/>
          <w:szCs w:val="24"/>
        </w:rPr>
        <w:t xml:space="preserve">Formula:   </w:t>
      </w:r>
      <w:r>
        <w:rPr>
          <w:rFonts w:ascii="Times New Roman" w:cs="Times New Roman" w:eastAsia="Times New Roman" w:hAnsi="Times New Roman"/>
          <w:sz w:val="24"/>
          <w:szCs w:val="24"/>
        </w:rPr>
        <w:t xml:space="preserve">P_grid,t  =  max( P_load,t  -  P_solar,t  -  P_wind,t  -  P_bat,t ,  0 )</w:t>
      </w:r>
    </w:p>
    <w:p>
      <w:pPr>
        <w:spacing w:after="200" w:before="0" w:line="360" w:lineRule="auto"/>
        <w:jc w:val="both"/>
      </w:pPr>
      <w:r>
        <w:rPr>
          <w:rFonts w:ascii="Times New Roman" w:cs="Times New Roman" w:eastAsia="Times New Roman" w:hAnsi="Times New Roman"/>
          <w:sz w:val="24"/>
          <w:szCs w:val="24"/>
        </w:rPr>
        <w:t xml:space="preserve">The max() operator enforces the constraint that the facility cannot export power to the grid: if local generation exceeds demand, excess power is directed to battery charging (by the DRL agent) or curtailed. The dashboard metric targets zero during peak tariff hours as the primary success indicator — when P_grid,t = 0.0 kW during the 18:00-22:00 window, it means the DRL agent has successfully pre-charged the BESS sufficiently to meet full facility demand from stored energy alone. During Island Mode activation, this value is programmatically forced to exactly 0.0 kW by the edge override logic, regardless of the AI agent's dispatch recommendation.</w:t>
      </w:r>
    </w:p>
    <w:p>
      <w:pPr>
        <w:spacing w:after="160" w:before="0" w:line="360" w:lineRule="auto"/>
      </w:pPr>
    </w:p>
    <w:p>
      <w:pPr>
        <w:spacing w:after="160" w:before="360" w:line="360" w:lineRule="auto"/>
        <w:jc w:val="left"/>
      </w:pPr>
      <w:r>
        <w:rPr>
          <w:rFonts w:ascii="Times New Roman" w:cs="Times New Roman" w:eastAsia="Times New Roman" w:hAnsi="Times New Roman"/>
          <w:sz w:val="28"/>
          <w:szCs w:val="28"/>
        </w:rPr>
        <w:t xml:space="preserve">1.6   Current Grid Tariff (Tariff_t) — Rs/kWh</w:t>
      </w:r>
    </w:p>
    <w:p>
      <w:pPr>
        <w:spacing w:after="200" w:before="0" w:line="360" w:lineRule="auto"/>
        <w:jc w:val="both"/>
      </w:pPr>
      <w:r>
        <w:rPr>
          <w:rFonts w:ascii="Times New Roman" w:cs="Times New Roman" w:eastAsia="Times New Roman" w:hAnsi="Times New Roman"/>
          <w:sz w:val="24"/>
          <w:szCs w:val="24"/>
        </w:rPr>
        <w:t xml:space="preserve">The tariff metric displays the current price of grid electricity as determined by the Time-of-Use pricing schedule. This is one of the five state variables passed directly to the DRL agent and is the primary economic signal driving the arbitrage strategy.</w:t>
      </w:r>
    </w:p>
    <w:p>
      <w:pPr>
        <w:spacing w:after="80" w:before="0" w:line="360" w:lineRule="auto"/>
      </w:pPr>
    </w:p>
    <w:p>
      <w:pPr>
        <w:spacing w:after="200" w:before="0" w:line="360" w:lineRule="auto"/>
        <w:jc w:val="both"/>
      </w:pPr>
      <w:r>
        <w:rPr>
          <w:rFonts w:ascii="Times New Roman" w:cs="Times New Roman" w:eastAsia="Times New Roman" w:hAnsi="Times New Roman"/>
          <w:b/>
          <w:bCs/>
          <w:sz w:val="24"/>
          <w:szCs w:val="24"/>
        </w:rPr>
        <w:t xml:space="preserve">Tariff Schedule:   </w:t>
      </w:r>
      <w:r>
        <w:rPr>
          <w:rFonts w:ascii="Times New Roman" w:cs="Times New Roman" w:eastAsia="Times New Roman" w:hAnsi="Times New Roman"/>
          <w:sz w:val="24"/>
          <w:szCs w:val="24"/>
        </w:rPr>
        <w:t xml:space="preserve">Off-Peak (22:00-06:00): Rs3.0/kWh  |  Shoulder (06:00-10:00, 14:00-17:00): Rs5.5/kWh  |  Peak (18:00-22:00): Rs9.0-11.5/kWh</w:t>
      </w:r>
    </w:p>
    <w:p>
      <w:pPr>
        <w:spacing w:after="200" w:before="0" w:line="360" w:lineRule="auto"/>
        <w:jc w:val="both"/>
      </w:pPr>
      <w:r>
        <w:rPr>
          <w:rFonts w:ascii="Times New Roman" w:cs="Times New Roman" w:eastAsia="Times New Roman" w:hAnsi="Times New Roman"/>
          <w:sz w:val="24"/>
          <w:szCs w:val="24"/>
        </w:rPr>
        <w:t xml:space="preserve">The tariff differential of Rs8.5/kWh between the off-peak floor and the peak ceiling is the economic foundation of the entire arbitrage strategy. By purchasing 180 kWh at Rs3.0/kWh (cost: Rs540) during the overnight window and deploying it to avoid purchasing the same energy at Rs11.5/kWh during the peak window (avoided cost: Rs2,070), the system captures a gross arbitrage margin of Rs1,530 per full charge-discharge cycle. Over seven days with one cycle per day, the theoretical maximum arbitrage margin is Rs10,710 — the DRL agent captures approximately Rs5,035 of this theoretical maximum, with the remainder lost to round-trip efficiency losses (3.5% per cycle), partial SoC utilization (staying within 20%-95% bounds), and imperfect forecast accuracy.</w:t>
      </w:r>
    </w:p>
    <w:p>
      <w:pPr>
        <w:spacing w:after="160" w:before="0" w:line="360" w:lineRule="auto"/>
      </w:pPr>
    </w:p>
    <w:p>
      <w:pPr>
        <w:spacing w:after="160" w:before="360" w:line="360" w:lineRule="auto"/>
        <w:jc w:val="left"/>
      </w:pPr>
      <w:r>
        <w:rPr>
          <w:rFonts w:ascii="Times New Roman" w:cs="Times New Roman" w:eastAsia="Times New Roman" w:hAnsi="Times New Roman"/>
          <w:sz w:val="28"/>
          <w:szCs w:val="28"/>
        </w:rPr>
        <w:t xml:space="preserve">1.7   Battery Power Flow (P_bat) — kW (positive = discharge, negative = charge)</w:t>
      </w:r>
    </w:p>
    <w:p>
      <w:pPr>
        <w:spacing w:after="200" w:before="0" w:line="360" w:lineRule="auto"/>
        <w:jc w:val="both"/>
      </w:pPr>
      <w:r>
        <w:rPr>
          <w:rFonts w:ascii="Times New Roman" w:cs="Times New Roman" w:eastAsia="Times New Roman" w:hAnsi="Times New Roman"/>
          <w:sz w:val="24"/>
          <w:szCs w:val="24"/>
        </w:rPr>
        <w:t xml:space="preserve">The battery power flow metric shows the instantaneous rate at which energy is entering (negative, charging) or leaving (positive, discharging) the BESS. This is the direct output of the DRL agent's policy network — the continuous action scalar mapped to the physical power command bounded by the inverter hardware limits.</w:t>
      </w:r>
    </w:p>
    <w:p>
      <w:pPr>
        <w:spacing w:after="80" w:before="0" w:line="360" w:lineRule="auto"/>
      </w:pPr>
    </w:p>
    <w:p>
      <w:pPr>
        <w:spacing w:after="200" w:before="0" w:line="360" w:lineRule="auto"/>
        <w:jc w:val="both"/>
      </w:pPr>
      <w:r>
        <w:rPr>
          <w:rFonts w:ascii="Times New Roman" w:cs="Times New Roman" w:eastAsia="Times New Roman" w:hAnsi="Times New Roman"/>
          <w:b/>
          <w:bCs/>
          <w:sz w:val="24"/>
          <w:szCs w:val="24"/>
        </w:rPr>
        <w:t xml:space="preserve">Bounds:   </w:t>
      </w:r>
      <w:r>
        <w:rPr>
          <w:rFonts w:ascii="Times New Roman" w:cs="Times New Roman" w:eastAsia="Times New Roman" w:hAnsi="Times New Roman"/>
          <w:sz w:val="24"/>
          <w:szCs w:val="24"/>
        </w:rPr>
        <w:t xml:space="preserve">P_bat in [ -55 kW (max charge) ,  +58 kW (max discharge) ]</w:t>
      </w:r>
    </w:p>
    <w:p>
      <w:pPr>
        <w:spacing w:after="200" w:before="0" w:line="360" w:lineRule="auto"/>
        <w:jc w:val="both"/>
      </w:pPr>
      <w:r>
        <w:rPr>
          <w:rFonts w:ascii="Times New Roman" w:cs="Times New Roman" w:eastAsia="Times New Roman" w:hAnsi="Times New Roman"/>
          <w:sz w:val="24"/>
          <w:szCs w:val="24"/>
        </w:rPr>
        <w:t xml:space="preserve">The asymmetry between the charge limit (55 kW) and discharge limit (58 kW) reflects the different thermal constraints of the rectifier (charge) and inverter (discharge) hardware. The dashboard displays this metric with directional arrows: a downward arrow with negative value indicates charging, an upward arrow with positive value indicates discharging, and a horizontal line with zero indicates idle. Operators monitoring this metric can immediately verify that the AI agent is executing the expected arbitrage strategy by confirming that P_bat is strongly negative during off-peak hours and strongly positive during peak hours.</w:t>
      </w:r>
    </w:p>
    <w:p>
      <w:pPr>
        <w:spacing w:after="160" w:before="0" w:line="360" w:lineRule="auto"/>
      </w:pPr>
    </w:p>
    <w:p>
      <w:pPr>
        <w:spacing w:after="160" w:before="360" w:line="360" w:lineRule="auto"/>
        <w:jc w:val="left"/>
      </w:pPr>
      <w:r>
        <w:rPr>
          <w:rFonts w:ascii="Times New Roman" w:cs="Times New Roman" w:eastAsia="Times New Roman" w:hAnsi="Times New Roman"/>
          <w:sz w:val="28"/>
          <w:szCs w:val="28"/>
        </w:rPr>
        <w:t xml:space="preserve">1.8   Cumulative Cost (Rs) — Rolling 24h Window</w:t>
      </w:r>
    </w:p>
    <w:p>
      <w:pPr>
        <w:spacing w:after="200" w:before="0" w:line="360" w:lineRule="auto"/>
        <w:jc w:val="both"/>
      </w:pPr>
      <w:r>
        <w:rPr>
          <w:rFonts w:ascii="Times New Roman" w:cs="Times New Roman" w:eastAsia="Times New Roman" w:hAnsi="Times New Roman"/>
          <w:sz w:val="24"/>
          <w:szCs w:val="24"/>
        </w:rPr>
        <w:t xml:space="preserve">The cumulative cost metric integrates grid import expenditure over a rolling 24-hour window, providing the operator with a real-time economic performance indicator.</w:t>
      </w:r>
    </w:p>
    <w:p>
      <w:pPr>
        <w:spacing w:after="80" w:before="0" w:line="360" w:lineRule="auto"/>
      </w:pPr>
    </w:p>
    <w:p>
      <w:pPr>
        <w:spacing w:after="200" w:before="0" w:line="360" w:lineRule="auto"/>
        <w:jc w:val="both"/>
      </w:pPr>
      <w:r>
        <w:rPr>
          <w:rFonts w:ascii="Times New Roman" w:cs="Times New Roman" w:eastAsia="Times New Roman" w:hAnsi="Times New Roman"/>
          <w:b/>
          <w:bCs/>
          <w:sz w:val="24"/>
          <w:szCs w:val="24"/>
        </w:rPr>
        <w:t xml:space="preserve">Formula:   </w:t>
      </w:r>
      <w:r>
        <w:rPr>
          <w:rFonts w:ascii="Times New Roman" w:cs="Times New Roman" w:eastAsia="Times New Roman" w:hAnsi="Times New Roman"/>
          <w:sz w:val="24"/>
          <w:szCs w:val="24"/>
        </w:rPr>
        <w:t xml:space="preserve">Cost_cumulative  =  SUM over t in [t-24h, t] of  ( P_grid,t  x  Tariff_t  x  Delta_t )</w:t>
      </w:r>
    </w:p>
    <w:p>
      <w:pPr>
        <w:spacing w:after="200" w:before="0" w:line="360" w:lineRule="auto"/>
        <w:jc w:val="both"/>
      </w:pPr>
      <w:r>
        <w:rPr>
          <w:rFonts w:ascii="Times New Roman" w:cs="Times New Roman" w:eastAsia="Times New Roman" w:hAnsi="Times New Roman"/>
          <w:sz w:val="24"/>
          <w:szCs w:val="24"/>
        </w:rPr>
        <w:t xml:space="preserve">This metric is the primary economic KPI of the system. During the baseline evaluation, the rule-based controller accumulated Rs41,165.47 over the 168-hour test window, while the DRL controller accumulated Rs36,130.22 — a difference of Rs5,035.25 representing the 12.23% OPEX reduction. On the dashboard, this metric is displayed alongside a comparison bar showing the rule-based baseline cost for the same period, allowing the operator to see the AI's economic advantage in real time. A green downward arrow next to the metric confirms the AI is outperforming the baseline; a red upward arrow would indicate the baseline is performing better (which was never observed during validation testing).</w:t>
      </w:r>
    </w:p>
    <w:p>
      <w:pPr>
        <w:spacing w:after="160" w:before="0" w:line="360" w:lineRule="auto"/>
      </w:pPr>
    </w:p>
    <w:p>
      <w:pPr>
        <w:spacing w:after="160" w:before="360" w:line="360" w:lineRule="auto"/>
        <w:jc w:val="left"/>
      </w:pPr>
      <w:r>
        <w:rPr>
          <w:rFonts w:ascii="Times New Roman" w:cs="Times New Roman" w:eastAsia="Times New Roman" w:hAnsi="Times New Roman"/>
          <w:sz w:val="28"/>
          <w:szCs w:val="28"/>
        </w:rPr>
        <w:t xml:space="preserve">1.9   Renewable Self-Sufficiency (%) — Current Hour</w:t>
      </w:r>
    </w:p>
    <w:p>
      <w:pPr>
        <w:spacing w:after="200" w:before="0" w:line="360" w:lineRule="auto"/>
        <w:jc w:val="both"/>
      </w:pPr>
      <w:r>
        <w:rPr>
          <w:rFonts w:ascii="Times New Roman" w:cs="Times New Roman" w:eastAsia="Times New Roman" w:hAnsi="Times New Roman"/>
          <w:sz w:val="24"/>
          <w:szCs w:val="24"/>
        </w:rPr>
        <w:t xml:space="preserve">The self-sufficiency metric quantifies what fraction of current facility demand is being met by local renewable generation and battery discharge, without requiring grid imports.</w:t>
      </w:r>
    </w:p>
    <w:p>
      <w:pPr>
        <w:spacing w:after="80" w:before="0" w:line="360" w:lineRule="auto"/>
      </w:pPr>
    </w:p>
    <w:p>
      <w:pPr>
        <w:spacing w:after="200" w:before="0" w:line="360" w:lineRule="auto"/>
        <w:jc w:val="both"/>
      </w:pPr>
      <w:r>
        <w:rPr>
          <w:rFonts w:ascii="Times New Roman" w:cs="Times New Roman" w:eastAsia="Times New Roman" w:hAnsi="Times New Roman"/>
          <w:b/>
          <w:bCs/>
          <w:sz w:val="24"/>
          <w:szCs w:val="24"/>
        </w:rPr>
        <w:t xml:space="preserve">Formula:   </w:t>
      </w:r>
      <w:r>
        <w:rPr>
          <w:rFonts w:ascii="Times New Roman" w:cs="Times New Roman" w:eastAsia="Times New Roman" w:hAnsi="Times New Roman"/>
          <w:sz w:val="24"/>
          <w:szCs w:val="24"/>
        </w:rPr>
        <w:t xml:space="preserve">Self_Sufficiency_t  =  min( (P_solar,t + P_wind,t + P_bat,t) / P_load,t ,  1.0 )  x  100%</w:t>
      </w:r>
    </w:p>
    <w:p>
      <w:pPr>
        <w:spacing w:after="200" w:before="0" w:line="360" w:lineRule="auto"/>
        <w:jc w:val="both"/>
      </w:pPr>
      <w:r>
        <w:rPr>
          <w:rFonts w:ascii="Times New Roman" w:cs="Times New Roman" w:eastAsia="Times New Roman" w:hAnsi="Times New Roman"/>
          <w:sz w:val="24"/>
          <w:szCs w:val="24"/>
        </w:rPr>
        <w:t xml:space="preserve">A value of 100% means the facility is operating in complete energy independence at the current timestep. A value of 0% means all demand is being met from grid import. During peak solar hours with a fully charged BESS, this metric approaches or reaches 100%. During the +24% HVAC surge scenario, this metric temporarily dropped as the battery discharge could not fully cover the extreme demand, requiring partial grid import — the DRL agent's achievement in limiting the grid import to a minimum during this event is reflected by this metric remaining above 60% even during the surge.</w:t>
      </w:r>
    </w:p>
    <w:p>
      <w:pPr>
        <w:spacing w:after="160" w:before="0" w:line="360" w:lineRule="auto"/>
      </w:pPr>
    </w:p>
    <w:p>
      <w:pPr>
        <w:spacing w:after="160" w:before="360" w:line="360" w:lineRule="auto"/>
        <w:jc w:val="left"/>
      </w:pPr>
      <w:r>
        <w:rPr>
          <w:rFonts w:ascii="Times New Roman" w:cs="Times New Roman" w:eastAsia="Times New Roman" w:hAnsi="Times New Roman"/>
          <w:sz w:val="28"/>
          <w:szCs w:val="28"/>
        </w:rPr>
        <w:t xml:space="preserve">1.10   LSTM Forecast Confidence — 24h Horizon</w:t>
      </w:r>
    </w:p>
    <w:p>
      <w:pPr>
        <w:spacing w:after="200" w:before="0" w:line="360" w:lineRule="auto"/>
        <w:jc w:val="both"/>
      </w:pPr>
      <w:r>
        <w:rPr>
          <w:rFonts w:ascii="Times New Roman" w:cs="Times New Roman" w:eastAsia="Times New Roman" w:hAnsi="Times New Roman"/>
          <w:sz w:val="24"/>
          <w:szCs w:val="24"/>
        </w:rPr>
        <w:t xml:space="preserve">The forecast confidence metric is a derived indicator showing the rolling Mean Absolute Percentage Error of the LSTM models across the most recent 24 prediction intervals where actual values are now available for comparison.</w:t>
      </w:r>
    </w:p>
    <w:p>
      <w:pPr>
        <w:spacing w:after="80" w:before="0" w:line="360" w:lineRule="auto"/>
      </w:pPr>
    </w:p>
    <w:p>
      <w:pPr>
        <w:spacing w:after="200" w:before="0" w:line="360" w:lineRule="auto"/>
        <w:jc w:val="both"/>
      </w:pPr>
      <w:r>
        <w:rPr>
          <w:rFonts w:ascii="Times New Roman" w:cs="Times New Roman" w:eastAsia="Times New Roman" w:hAnsi="Times New Roman"/>
          <w:b/>
          <w:bCs/>
          <w:sz w:val="24"/>
          <w:szCs w:val="24"/>
        </w:rPr>
        <w:t xml:space="preserve">Formula:   </w:t>
      </w:r>
      <w:r>
        <w:rPr>
          <w:rFonts w:ascii="Times New Roman" w:cs="Times New Roman" w:eastAsia="Times New Roman" w:hAnsi="Times New Roman"/>
          <w:sz w:val="24"/>
          <w:szCs w:val="24"/>
        </w:rPr>
        <w:t xml:space="preserve">MAPE_t  =  (1/24)  x  SUM over k=1 to 24 of  |  (Actual_k - Forecast_k) / Actual_k  |  x  100%</w:t>
      </w:r>
    </w:p>
    <w:p>
      <w:pPr>
        <w:spacing w:after="200" w:before="0" w:line="360" w:lineRule="auto"/>
        <w:jc w:val="both"/>
      </w:pPr>
      <w:r>
        <w:rPr>
          <w:rFonts w:ascii="Times New Roman" w:cs="Times New Roman" w:eastAsia="Times New Roman" w:hAnsi="Times New Roman"/>
          <w:sz w:val="24"/>
          <w:szCs w:val="24"/>
        </w:rPr>
        <w:t xml:space="preserve">The solar forecaster achieved a validated MAE of 2.0748 kW corresponding to approximately 3.8% MAPE across the test dataset. The load forecaster achieved 3.5385 kW MAE corresponding to approximately 3.0% MAPE. These confidence values are displayed as green progress bars on the dashboard. When confidence degrades beyond 10% (indicating unusual weather events outside the training distribution), the dashboard transitions the confidence bar to amber and displays an advisory note recommending the operator consider manual override of the agent's dispatch strategy pending improved forecast conditions.</w:t>
      </w:r>
    </w:p>
    <w:p>
      <w:pPr>
        <w:spacing w:after="160" w:before="0" w:line="360" w:lineRule="auto"/>
      </w:pPr>
    </w:p>
    <w:p>
      <w:pPr>
        <w:spacing w:after="160" w:before="360" w:line="360" w:lineRule="auto"/>
        <w:jc w:val="left"/>
      </w:pPr>
      <w:r>
        <w:rPr>
          <w:rFonts w:ascii="Times New Roman" w:cs="Times New Roman" w:eastAsia="Times New Roman" w:hAnsi="Times New Roman"/>
          <w:sz w:val="28"/>
          <w:szCs w:val="28"/>
        </w:rPr>
        <w:t xml:space="preserve">1.11   XAI Decision String — Agent Reasoning</w:t>
      </w:r>
    </w:p>
    <w:p>
      <w:pPr>
        <w:spacing w:after="200" w:before="0" w:line="360" w:lineRule="auto"/>
        <w:jc w:val="both"/>
      </w:pPr>
      <w:r>
        <w:rPr>
          <w:rFonts w:ascii="Times New Roman" w:cs="Times New Roman" w:eastAsia="Times New Roman" w:hAnsi="Times New Roman"/>
          <w:sz w:val="24"/>
          <w:szCs w:val="24"/>
        </w:rPr>
        <w:t xml:space="preserve">The Explainable AI banner is not a numeric metric but rather a text field displaying the human-readable reasoning string that explains why the DRL agent selected its current dispatch action. It is generated by a deterministic Boolean logic tree that evaluates the five state variables and maps them to pre-authored English template strings populated with current numeric values.</w:t>
      </w:r>
    </w:p>
    <w:p>
      <w:pPr>
        <w:spacing w:after="80" w:before="0" w:line="360" w:lineRule="auto"/>
      </w:pPr>
    </w:p>
    <w:p>
      <w:pPr>
        <w:spacing w:after="200" w:before="0" w:line="360" w:lineRule="auto"/>
        <w:jc w:val="both"/>
      </w:pPr>
      <w:r>
        <w:rPr>
          <w:rFonts w:ascii="Times New Roman" w:cs="Times New Roman" w:eastAsia="Times New Roman" w:hAnsi="Times New Roman"/>
          <w:b/>
          <w:bCs/>
          <w:sz w:val="24"/>
          <w:szCs w:val="24"/>
        </w:rPr>
        <w:t xml:space="preserve">Logic:   </w:t>
      </w:r>
      <w:r>
        <w:rPr>
          <w:rFonts w:ascii="Times New Roman" w:cs="Times New Roman" w:eastAsia="Times New Roman" w:hAnsi="Times New Roman"/>
          <w:sz w:val="24"/>
          <w:szCs w:val="24"/>
        </w:rPr>
        <w:t xml:space="preserve">IF (action &lt; -0.1) AND (Tariff &lt; 4.0) THEN 'Charging — Off-peak tariff active (Rs{Tariff}/kWh). Pre-charging to capacity.'</w:t>
      </w:r>
    </w:p>
    <w:p>
      <w:pPr>
        <w:spacing w:after="200" w:before="0" w:line="360" w:lineRule="auto"/>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IF (action &gt; 0.1) AND (Tariff &gt; 7.0) THEN 'Discharging — Peak tariff active (Rs{Tariff}/kWh). Deploying stored reserves.'</w:t>
      </w:r>
    </w:p>
    <w:p>
      <w:pPr>
        <w:spacing w:after="200" w:before="0" w:line="360" w:lineRule="auto"/>
        <w:jc w:val="both"/>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IF (|action| &lt; 0.1) THEN 'Idle — {Solar} kW solar self-consumption mode. No grid import required.'</w:t>
      </w:r>
    </w:p>
    <w:p>
      <w:pPr>
        <w:spacing w:after="200" w:before="0" w:line="360" w:lineRule="auto"/>
        <w:jc w:val="both"/>
      </w:pPr>
      <w:r>
        <w:rPr>
          <w:rFonts w:ascii="Times New Roman" w:cs="Times New Roman" w:eastAsia="Times New Roman" w:hAnsi="Times New Roman"/>
          <w:sz w:val="24"/>
          <w:szCs w:val="24"/>
        </w:rPr>
        <w:t xml:space="preserve">The XAI string updates at every 1.5-second tick. Its purpose is specifically to make the agent's behavior auditable: an operator who disagrees with the stated reasoning can immediately activate a SCADA override to countermand the AI decision while maintaining full system safety.</w:t>
      </w:r>
    </w:p>
    <w:p>
      <w:pPr>
        <w:spacing w:after="0" w:before="0" w:line="360" w:lineRule="auto"/>
      </w:pPr>
      <w:r>
        <w:br w:type="page"/>
      </w:r>
    </w:p>
    <w:p>
      <w:pPr>
        <w:spacing w:after="320" w:before="480" w:line="360" w:lineRule="auto"/>
        <w:jc w:val="center"/>
      </w:pPr>
      <w:r>
        <w:rPr>
          <w:rFonts w:ascii="Times New Roman" w:cs="Times New Roman" w:eastAsia="Times New Roman" w:hAnsi="Times New Roman"/>
          <w:b/>
          <w:bCs/>
          <w:sz w:val="32"/>
          <w:szCs w:val="32"/>
        </w:rPr>
        <w:t xml:space="preserve">SECTION 2: COMPLETE FORMULAE REFERENCE — EVERY EQUATION IN THE PROJECT</w:t>
      </w:r>
    </w:p>
    <w:p>
      <w:pPr>
        <w:spacing w:after="200" w:before="0" w:line="360" w:lineRule="auto"/>
        <w:jc w:val="both"/>
      </w:pPr>
      <w:r>
        <w:rPr>
          <w:rFonts w:ascii="Times New Roman" w:cs="Times New Roman" w:eastAsia="Times New Roman" w:hAnsi="Times New Roman"/>
          <w:sz w:val="24"/>
          <w:szCs w:val="24"/>
        </w:rPr>
        <w:t xml:space="preserve">This section catalogues every mathematical expression used in the project, organized by functional domain. These equations collectively define the system's physics model, learning objective, forecasting architecture, and economic evaluation framework.</w:t>
      </w:r>
    </w:p>
    <w:p>
      <w:pPr>
        <w:spacing w:after="160" w:before="0" w:line="360" w:lineRule="auto"/>
      </w:pPr>
    </w:p>
    <w:p>
      <w:pPr>
        <w:spacing w:after="160" w:before="360" w:line="360" w:lineRule="auto"/>
        <w:jc w:val="left"/>
      </w:pPr>
      <w:r>
        <w:rPr>
          <w:rFonts w:ascii="Times New Roman" w:cs="Times New Roman" w:eastAsia="Times New Roman" w:hAnsi="Times New Roman"/>
          <w:sz w:val="28"/>
          <w:szCs w:val="28"/>
        </w:rPr>
        <w:t xml:space="preserve">2.1   State Space Representation — MDP Input Vector</w:t>
      </w:r>
    </w:p>
    <w:p>
      <w:pPr>
        <w:spacing w:after="200" w:before="0" w:line="360" w:lineRule="auto"/>
        <w:jc w:val="left"/>
      </w:pPr>
      <w:r>
        <w:rPr>
          <w:rFonts w:ascii="Times New Roman" w:cs="Times New Roman" w:eastAsia="Times New Roman" w:hAnsi="Times New Roman"/>
          <w:b/>
          <w:bCs/>
          <w:sz w:val="24"/>
          <w:szCs w:val="24"/>
        </w:rPr>
        <w:t xml:space="preserve">Equation 2.1 (State Space):   </w:t>
      </w:r>
      <w:r>
        <w:rPr>
          <w:rFonts w:ascii="Times New Roman" w:cs="Times New Roman" w:eastAsia="Times New Roman" w:hAnsi="Times New Roman"/>
          <w:sz w:val="24"/>
          <w:szCs w:val="24"/>
        </w:rPr>
        <w:t xml:space="preserve">S_t  =  [ P_solar,t ,  P_wind,t ,  P_load,t ,  SoC_t ,  Tariff_t ]</w:t>
      </w:r>
    </w:p>
    <w:p>
      <w:pPr>
        <w:spacing w:after="200" w:before="0" w:line="360" w:lineRule="auto"/>
        <w:jc w:val="both"/>
      </w:pPr>
      <w:r>
        <w:rPr>
          <w:rFonts w:ascii="Times New Roman" w:cs="Times New Roman" w:eastAsia="Times New Roman" w:hAnsi="Times New Roman"/>
          <w:sz w:val="24"/>
          <w:szCs w:val="24"/>
        </w:rPr>
        <w:t xml:space="preserve">This five-dimensional continuous state vector is presented to the PPO agent at every hourly timestep. All five elements are normalized to the range [0, 1] before being passed to the policy network to prevent any single feature from dominating the network's attention. P_solar and P_wind are normalized against their respective rated capacities; P_load against the observed maximum load; SoC is already a percentage divided by 100; Tariff is normalized against the maximum peak tariff (Rs11.5/kWh).</w:t>
      </w:r>
    </w:p>
    <w:p>
      <w:pPr>
        <w:spacing w:after="160" w:before="0" w:line="360" w:lineRule="auto"/>
      </w:pPr>
    </w:p>
    <w:p>
      <w:pPr>
        <w:spacing w:after="160" w:before="360" w:line="360" w:lineRule="auto"/>
        <w:jc w:val="left"/>
      </w:pPr>
      <w:r>
        <w:rPr>
          <w:rFonts w:ascii="Times New Roman" w:cs="Times New Roman" w:eastAsia="Times New Roman" w:hAnsi="Times New Roman"/>
          <w:sz w:val="28"/>
          <w:szCs w:val="28"/>
        </w:rPr>
        <w:t xml:space="preserve">2.2   Battery Electrochemical Dynamics</w:t>
      </w:r>
    </w:p>
    <w:p>
      <w:pPr>
        <w:spacing w:after="200" w:before="0" w:line="360" w:lineRule="auto"/>
        <w:jc w:val="left"/>
      </w:pPr>
      <w:r>
        <w:rPr>
          <w:rFonts w:ascii="Times New Roman" w:cs="Times New Roman" w:eastAsia="Times New Roman" w:hAnsi="Times New Roman"/>
          <w:b/>
          <w:bCs/>
          <w:sz w:val="24"/>
          <w:szCs w:val="24"/>
        </w:rPr>
        <w:t xml:space="preserve">Equation 2.2 (Charging — P_bat &lt; 0):   </w:t>
      </w:r>
      <w:r>
        <w:rPr>
          <w:rFonts w:ascii="Times New Roman" w:cs="Times New Roman" w:eastAsia="Times New Roman" w:hAnsi="Times New Roman"/>
          <w:sz w:val="24"/>
          <w:szCs w:val="24"/>
        </w:rPr>
        <w:t xml:space="preserve">SoC_(t+1)  =  SoC_t  +  (P_bat x Delta_t / C_max)  x  eta_charge  x  100</w:t>
      </w:r>
    </w:p>
    <w:p>
      <w:pPr>
        <w:spacing w:after="200" w:before="0" w:line="360" w:lineRule="auto"/>
        <w:jc w:val="left"/>
      </w:pPr>
      <w:r>
        <w:rPr>
          <w:rFonts w:ascii="Times New Roman" w:cs="Times New Roman" w:eastAsia="Times New Roman" w:hAnsi="Times New Roman"/>
          <w:b/>
          <w:bCs/>
          <w:sz w:val="24"/>
          <w:szCs w:val="24"/>
        </w:rPr>
        <w:t xml:space="preserve">Equation 2.3 (Discharging — P_bat &gt; 0):   </w:t>
      </w:r>
      <w:r>
        <w:rPr>
          <w:rFonts w:ascii="Times New Roman" w:cs="Times New Roman" w:eastAsia="Times New Roman" w:hAnsi="Times New Roman"/>
          <w:sz w:val="24"/>
          <w:szCs w:val="24"/>
        </w:rPr>
        <w:t xml:space="preserve">SoC_(t+1)  =  SoC_t  -  (P_bat x Delta_t) / (C_max x eta_discharge)  x  100</w:t>
      </w:r>
    </w:p>
    <w:p>
      <w:pPr>
        <w:spacing w:after="200" w:before="0" w:line="360" w:lineRule="auto"/>
        <w:jc w:val="both"/>
      </w:pPr>
      <w:r>
        <w:rPr>
          <w:rFonts w:ascii="Times New Roman" w:cs="Times New Roman" w:eastAsia="Times New Roman" w:hAnsi="Times New Roman"/>
          <w:sz w:val="24"/>
          <w:szCs w:val="24"/>
        </w:rPr>
        <w:t xml:space="preserve">Parameters: C_max = 180 kWh (nominal capacity), Delta_t = 1 hour (timestep), eta_charge = eta_discharge = 0.965 (round-trip efficiency). The multiplication by 100 converts the fractional SoC change to percentage points. The efficiency coefficient is applied on the inside of the charge formula (reducing the SoC gain from a given power input) and on the outside of the discharge formula (increasing the power required to achieve a given SoC reduction), accurately modelling the asymmetric energy loss in lithium-ion electrochemistry.</w:t>
      </w:r>
    </w:p>
    <w:p>
      <w:pPr>
        <w:spacing w:after="160" w:before="0" w:line="360" w:lineRule="auto"/>
      </w:pPr>
    </w:p>
    <w:p>
      <w:pPr>
        <w:spacing w:after="160" w:before="360" w:line="360" w:lineRule="auto"/>
        <w:jc w:val="left"/>
      </w:pPr>
      <w:r>
        <w:rPr>
          <w:rFonts w:ascii="Times New Roman" w:cs="Times New Roman" w:eastAsia="Times New Roman" w:hAnsi="Times New Roman"/>
          <w:sz w:val="28"/>
          <w:szCs w:val="28"/>
        </w:rPr>
        <w:t xml:space="preserve">2.3   Nodal Energy Balance</w:t>
      </w:r>
    </w:p>
    <w:p>
      <w:pPr>
        <w:spacing w:after="200" w:before="0" w:line="360" w:lineRule="auto"/>
        <w:jc w:val="left"/>
      </w:pPr>
      <w:r>
        <w:rPr>
          <w:rFonts w:ascii="Times New Roman" w:cs="Times New Roman" w:eastAsia="Times New Roman" w:hAnsi="Times New Roman"/>
          <w:b/>
          <w:bCs/>
          <w:sz w:val="24"/>
          <w:szCs w:val="24"/>
        </w:rPr>
        <w:t xml:space="preserve">Equation 2.4 (Grid Balance):   </w:t>
      </w:r>
      <w:r>
        <w:rPr>
          <w:rFonts w:ascii="Times New Roman" w:cs="Times New Roman" w:eastAsia="Times New Roman" w:hAnsi="Times New Roman"/>
          <w:sz w:val="24"/>
          <w:szCs w:val="24"/>
        </w:rPr>
        <w:t xml:space="preserve">P_grid,t  =  max( P_load,t - P_solar,t - P_wind,t - P_bat,t ,  0 )</w:t>
      </w:r>
    </w:p>
    <w:p>
      <w:pPr>
        <w:spacing w:after="200" w:before="0" w:line="360" w:lineRule="auto"/>
        <w:jc w:val="both"/>
      </w:pPr>
      <w:r>
        <w:rPr>
          <w:rFonts w:ascii="Times New Roman" w:cs="Times New Roman" w:eastAsia="Times New Roman" w:hAnsi="Times New Roman"/>
          <w:sz w:val="24"/>
          <w:szCs w:val="24"/>
        </w:rPr>
        <w:t xml:space="preserve">This equation enforces the fundamental principle of energy conservation at the microgrid bus: all facility demand must be met by some combination of solar generation, wind generation, battery discharge, and grid import. The max() operator ensures grid import is non-negative (no export to grid is permitted in the simulation). When the sum of local generation and battery discharge exceeds load demand, the excess is absorbed by battery charging (directed by the agent's action) or curtailed. When it falls short, the deficit is covered by grid import at the current tariff rate.</w:t>
      </w:r>
    </w:p>
    <w:p>
      <w:pPr>
        <w:spacing w:after="160" w:before="0" w:line="360" w:lineRule="auto"/>
      </w:pPr>
    </w:p>
    <w:p>
      <w:pPr>
        <w:spacing w:after="160" w:before="360" w:line="360" w:lineRule="auto"/>
        <w:jc w:val="left"/>
      </w:pPr>
      <w:r>
        <w:rPr>
          <w:rFonts w:ascii="Times New Roman" w:cs="Times New Roman" w:eastAsia="Times New Roman" w:hAnsi="Times New Roman"/>
          <w:sz w:val="28"/>
          <w:szCs w:val="28"/>
        </w:rPr>
        <w:t xml:space="preserve">2.4   Reward Function</w:t>
      </w:r>
    </w:p>
    <w:p>
      <w:pPr>
        <w:spacing w:after="200" w:before="0" w:line="360" w:lineRule="auto"/>
        <w:jc w:val="left"/>
      </w:pPr>
      <w:r>
        <w:rPr>
          <w:rFonts w:ascii="Times New Roman" w:cs="Times New Roman" w:eastAsia="Times New Roman" w:hAnsi="Times New Roman"/>
          <w:b/>
          <w:bCs/>
          <w:sz w:val="24"/>
          <w:szCs w:val="24"/>
        </w:rPr>
        <w:t xml:space="preserve">Equation 2.5 (Reward):   </w:t>
      </w:r>
      <w:r>
        <w:rPr>
          <w:rFonts w:ascii="Times New Roman" w:cs="Times New Roman" w:eastAsia="Times New Roman" w:hAnsi="Times New Roman"/>
          <w:sz w:val="24"/>
          <w:szCs w:val="24"/>
        </w:rPr>
        <w:t xml:space="preserve">R_t  =  -(P_grid,t x Tariff_t)  -  P_penalty</w:t>
      </w:r>
    </w:p>
    <w:p>
      <w:pPr>
        <w:spacing w:after="200" w:before="0" w:line="360" w:lineRule="auto"/>
        <w:jc w:val="both"/>
      </w:pPr>
      <w:r>
        <w:rPr>
          <w:rFonts w:ascii="Times New Roman" w:cs="Times New Roman" w:eastAsia="Times New Roman" w:hAnsi="Times New Roman"/>
          <w:sz w:val="24"/>
          <w:szCs w:val="24"/>
        </w:rPr>
        <w:t xml:space="preserve">The reward is negative by design — the agent maximizes reward by minimizing cost, so a lower (less negative) cost corresponds to a higher (less negative) reward. The first term -(P_grid,t x Tariff_t) is the direct economic cost of grid import at the current timestep, computed as kilowatts imported multiplied by the current tariff rate in Rs/kWh multiplied by the one-hour timestep. The second term P_penalty = -10,000 is applied as a one-time discrete penalty whenever the agent's action would drive SoC below 20% or above 95%. This penalty value was calibrated to be approximately 6x larger than the maximum single-timestep energy cost (approximately Rs1,600 at full load during peak tariff), ensuring the agent treats constraint violations as categorically unacceptable outcomes.</w:t>
      </w:r>
    </w:p>
    <w:p>
      <w:pPr>
        <w:spacing w:after="160" w:before="0" w:line="360" w:lineRule="auto"/>
      </w:pPr>
    </w:p>
    <w:p>
      <w:pPr>
        <w:spacing w:after="160" w:before="360" w:line="360" w:lineRule="auto"/>
        <w:jc w:val="left"/>
      </w:pPr>
      <w:r>
        <w:rPr>
          <w:rFonts w:ascii="Times New Roman" w:cs="Times New Roman" w:eastAsia="Times New Roman" w:hAnsi="Times New Roman"/>
          <w:sz w:val="28"/>
          <w:szCs w:val="28"/>
        </w:rPr>
        <w:t xml:space="preserve">2.5   Proximal Policy Optimization Objective</w:t>
      </w:r>
    </w:p>
    <w:p>
      <w:pPr>
        <w:spacing w:after="200" w:before="0" w:line="360" w:lineRule="auto"/>
        <w:jc w:val="left"/>
      </w:pPr>
      <w:r>
        <w:rPr>
          <w:rFonts w:ascii="Times New Roman" w:cs="Times New Roman" w:eastAsia="Times New Roman" w:hAnsi="Times New Roman"/>
          <w:b/>
          <w:bCs/>
          <w:sz w:val="24"/>
          <w:szCs w:val="24"/>
        </w:rPr>
        <w:t xml:space="preserve">Equation 2.6 (PPO Clip Objective):   </w:t>
      </w:r>
      <w:r>
        <w:rPr>
          <w:rFonts w:ascii="Times New Roman" w:cs="Times New Roman" w:eastAsia="Times New Roman" w:hAnsi="Times New Roman"/>
          <w:sz w:val="24"/>
          <w:szCs w:val="24"/>
        </w:rPr>
        <w:t xml:space="preserve">L^CLIP(theta)  =  E_t [ min( r_t(theta) * A_hat_t ,  clip(r_t(theta), 1-e, 1+e) * A_hat_t ) ]</w:t>
      </w:r>
    </w:p>
    <w:p>
      <w:pPr>
        <w:spacing w:after="200" w:before="0" w:line="360" w:lineRule="auto"/>
        <w:jc w:val="left"/>
      </w:pPr>
      <w:r>
        <w:rPr>
          <w:rFonts w:ascii="Times New Roman" w:cs="Times New Roman" w:eastAsia="Times New Roman" w:hAnsi="Times New Roman"/>
          <w:b/>
          <w:bCs/>
          <w:sz w:val="24"/>
          <w:szCs w:val="24"/>
        </w:rPr>
        <w:t xml:space="preserve">where:   </w:t>
      </w:r>
      <w:r>
        <w:rPr>
          <w:rFonts w:ascii="Times New Roman" w:cs="Times New Roman" w:eastAsia="Times New Roman" w:hAnsi="Times New Roman"/>
          <w:sz w:val="24"/>
          <w:szCs w:val="24"/>
        </w:rPr>
        <w:t xml:space="preserve">r_t(theta)  =  pi_theta(a_t | s_t)  /  pi_theta_old(a_t | s_t)    (probability ratio)</w:t>
      </w:r>
    </w:p>
    <w:p>
      <w:pPr>
        <w:spacing w:after="200" w:before="0" w:line="360" w:lineRule="auto"/>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A_hat_t  =  advantage estimate via GAE with lambda = 0.95</w:t>
      </w:r>
    </w:p>
    <w:p>
      <w:pPr>
        <w:spacing w:after="200" w:before="0" w:line="360" w:lineRule="auto"/>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e = 0.2    (clip range parameter)</w:t>
      </w:r>
    </w:p>
    <w:p>
      <w:pPr>
        <w:spacing w:after="200" w:before="0" w:line="360" w:lineRule="auto"/>
        <w:jc w:val="both"/>
      </w:pPr>
      <w:r>
        <w:rPr>
          <w:rFonts w:ascii="Times New Roman" w:cs="Times New Roman" w:eastAsia="Times New Roman" w:hAnsi="Times New Roman"/>
          <w:sz w:val="24"/>
          <w:szCs w:val="24"/>
        </w:rPr>
        <w:t xml:space="preserve">The PPO objective prevents the policy from updating too aggressively in a single gradient step. The clip(r_t, 0.8, 1.2) term limits the probability ratio to the range [0.8, 1.2] — meaning the new policy cannot assign more than 1.2x or less than 0.8x the probability mass of the old policy to any given action. This conservative update mechanism is what gives PPO its characteristic stable learning curves, and is the primary reason PPO was selected over vanilla policy gradient or DQN methods for this application.</w:t>
      </w:r>
    </w:p>
    <w:p>
      <w:pPr>
        <w:spacing w:after="160" w:before="0" w:line="360" w:lineRule="auto"/>
      </w:pPr>
    </w:p>
    <w:p>
      <w:pPr>
        <w:spacing w:after="160" w:before="360" w:line="360" w:lineRule="auto"/>
        <w:jc w:val="left"/>
      </w:pPr>
      <w:r>
        <w:rPr>
          <w:rFonts w:ascii="Times New Roman" w:cs="Times New Roman" w:eastAsia="Times New Roman" w:hAnsi="Times New Roman"/>
          <w:sz w:val="28"/>
          <w:szCs w:val="28"/>
        </w:rPr>
        <w:t xml:space="preserve">2.6   Generalized Advantage Estimation</w:t>
      </w:r>
    </w:p>
    <w:p>
      <w:pPr>
        <w:spacing w:after="200" w:before="0" w:line="360" w:lineRule="auto"/>
        <w:jc w:val="left"/>
      </w:pPr>
      <w:r>
        <w:rPr>
          <w:rFonts w:ascii="Times New Roman" w:cs="Times New Roman" w:eastAsia="Times New Roman" w:hAnsi="Times New Roman"/>
          <w:b/>
          <w:bCs/>
          <w:sz w:val="24"/>
          <w:szCs w:val="24"/>
        </w:rPr>
        <w:t xml:space="preserve">Equation 2.7 (GAE):   </w:t>
      </w:r>
      <w:r>
        <w:rPr>
          <w:rFonts w:ascii="Times New Roman" w:cs="Times New Roman" w:eastAsia="Times New Roman" w:hAnsi="Times New Roman"/>
          <w:sz w:val="24"/>
          <w:szCs w:val="24"/>
        </w:rPr>
        <w:t xml:space="preserve">A_hat_t  =  SUM over l=0 to inf of  (gamma * lambda)^l  x  delta_(t+l)</w:t>
      </w:r>
    </w:p>
    <w:p>
      <w:pPr>
        <w:spacing w:after="200" w:before="0" w:line="360" w:lineRule="auto"/>
        <w:jc w:val="left"/>
      </w:pPr>
      <w:r>
        <w:rPr>
          <w:rFonts w:ascii="Times New Roman" w:cs="Times New Roman" w:eastAsia="Times New Roman" w:hAnsi="Times New Roman"/>
          <w:b/>
          <w:bCs/>
          <w:sz w:val="24"/>
          <w:szCs w:val="24"/>
        </w:rPr>
        <w:t xml:space="preserve">where:   </w:t>
      </w:r>
      <w:r>
        <w:rPr>
          <w:rFonts w:ascii="Times New Roman" w:cs="Times New Roman" w:eastAsia="Times New Roman" w:hAnsi="Times New Roman"/>
          <w:sz w:val="24"/>
          <w:szCs w:val="24"/>
        </w:rPr>
        <w:t xml:space="preserve">delta_t  =  R_t  +  gamma * V(s_(t+1))  -  V(s_t)    (TD error)</w:t>
      </w:r>
    </w:p>
    <w:p>
      <w:pPr>
        <w:spacing w:after="200" w:before="0" w:line="360" w:lineRule="auto"/>
        <w:jc w:val="both"/>
      </w:pPr>
      <w:r>
        <w:rPr>
          <w:rFonts w:ascii="Times New Roman" w:cs="Times New Roman" w:eastAsia="Times New Roman" w:hAnsi="Times New Roman"/>
          <w:sz w:val="24"/>
          <w:szCs w:val="24"/>
        </w:rPr>
        <w:t xml:space="preserve">GAE computes the advantage estimate by exponentially-weighted accumulation of temporal difference errors, controlled by the lambda parameter (set to 0.95). Higher lambda values reduce bias by incorporating longer return sequences but increase variance; the chosen value of 0.95 represents the standard trade-off for stable training in environments with multi-step rewards of the type produced by the ToU arbitrage task, where the benefit of an off-peak charging action is not realized until the peak window several hours later.</w:t>
      </w:r>
    </w:p>
    <w:p>
      <w:pPr>
        <w:spacing w:after="160" w:before="0" w:line="360" w:lineRule="auto"/>
      </w:pPr>
    </w:p>
    <w:p>
      <w:pPr>
        <w:spacing w:after="160" w:before="360" w:line="360" w:lineRule="auto"/>
        <w:jc w:val="left"/>
      </w:pPr>
      <w:r>
        <w:rPr>
          <w:rFonts w:ascii="Times New Roman" w:cs="Times New Roman" w:eastAsia="Times New Roman" w:hAnsi="Times New Roman"/>
          <w:sz w:val="28"/>
          <w:szCs w:val="28"/>
        </w:rPr>
        <w:t xml:space="preserve">2.7   LSTM Temporal Feature Engineering</w:t>
      </w:r>
    </w:p>
    <w:p>
      <w:pPr>
        <w:spacing w:after="200" w:before="0" w:line="360" w:lineRule="auto"/>
        <w:jc w:val="left"/>
      </w:pPr>
      <w:r>
        <w:rPr>
          <w:rFonts w:ascii="Times New Roman" w:cs="Times New Roman" w:eastAsia="Times New Roman" w:hAnsi="Times New Roman"/>
          <w:b/>
          <w:bCs/>
          <w:sz w:val="24"/>
          <w:szCs w:val="24"/>
        </w:rPr>
        <w:t xml:space="preserve">Equation 2.8 (Hour Sine Encoding):   </w:t>
      </w:r>
      <w:r>
        <w:rPr>
          <w:rFonts w:ascii="Times New Roman" w:cs="Times New Roman" w:eastAsia="Times New Roman" w:hAnsi="Times New Roman"/>
          <w:sz w:val="24"/>
          <w:szCs w:val="24"/>
        </w:rPr>
        <w:t xml:space="preserve">hour_sin  =  sin(2 * pi * hour / 24)</w:t>
      </w:r>
    </w:p>
    <w:p>
      <w:pPr>
        <w:spacing w:after="200" w:before="0" w:line="360" w:lineRule="auto"/>
        <w:jc w:val="left"/>
      </w:pPr>
      <w:r>
        <w:rPr>
          <w:rFonts w:ascii="Times New Roman" w:cs="Times New Roman" w:eastAsia="Times New Roman" w:hAnsi="Times New Roman"/>
          <w:b/>
          <w:bCs/>
          <w:sz w:val="24"/>
          <w:szCs w:val="24"/>
        </w:rPr>
        <w:t xml:space="preserve">Equation 2.9 (Hour Cosine Encoding):   </w:t>
      </w:r>
      <w:r>
        <w:rPr>
          <w:rFonts w:ascii="Times New Roman" w:cs="Times New Roman" w:eastAsia="Times New Roman" w:hAnsi="Times New Roman"/>
          <w:sz w:val="24"/>
          <w:szCs w:val="24"/>
        </w:rPr>
        <w:t xml:space="preserve">hour_cos  =  cos(2 * pi * hour / 24)</w:t>
      </w:r>
    </w:p>
    <w:p>
      <w:pPr>
        <w:spacing w:after="200" w:before="0" w:line="360" w:lineRule="auto"/>
        <w:jc w:val="both"/>
      </w:pPr>
      <w:r>
        <w:rPr>
          <w:rFonts w:ascii="Times New Roman" w:cs="Times New Roman" w:eastAsia="Times New Roman" w:hAnsi="Times New Roman"/>
          <w:sz w:val="24"/>
          <w:szCs w:val="24"/>
        </w:rPr>
        <w:t xml:space="preserve">These two equations replace the raw hour-of-day integer (0-23) with a pair of continuous, circular variables that correctly represent the cyclic topology of time. Without this encoding, a neural network treats hour 23 and hour 0 as maximally distant values (a Euclidean distance of 23), when in reality they are adjacent (a true temporal distance of 1). The sine-cosine pair maps each hour to a point on the unit circle, correctly encoding the relationship between all hours including the midnight transition.</w:t>
      </w:r>
    </w:p>
    <w:p>
      <w:pPr>
        <w:spacing w:after="80" w:before="0" w:line="360" w:lineRule="auto"/>
      </w:pPr>
    </w:p>
    <w:p>
      <w:pPr>
        <w:spacing w:after="200" w:before="0" w:line="360" w:lineRule="auto"/>
        <w:jc w:val="left"/>
      </w:pPr>
      <w:r>
        <w:rPr>
          <w:rFonts w:ascii="Times New Roman" w:cs="Times New Roman" w:eastAsia="Times New Roman" w:hAnsi="Times New Roman"/>
          <w:b/>
          <w:bCs/>
          <w:sz w:val="24"/>
          <w:szCs w:val="24"/>
        </w:rPr>
        <w:t xml:space="preserve">Equation 2.10 (Rolling Mean Feature):   </w:t>
      </w:r>
      <w:r>
        <w:rPr>
          <w:rFonts w:ascii="Times New Roman" w:cs="Times New Roman" w:eastAsia="Times New Roman" w:hAnsi="Times New Roman"/>
          <w:sz w:val="24"/>
          <w:szCs w:val="24"/>
        </w:rPr>
        <w:t xml:space="preserve">X_rolling_mean_t  =  (1/k)  x  SUM over i=t-k+1 to t of  X_i</w:t>
      </w:r>
    </w:p>
    <w:p>
      <w:pPr>
        <w:spacing w:after="200" w:before="0" w:line="360" w:lineRule="auto"/>
        <w:jc w:val="both"/>
      </w:pPr>
      <w:r>
        <w:rPr>
          <w:rFonts w:ascii="Times New Roman" w:cs="Times New Roman" w:eastAsia="Times New Roman" w:hAnsi="Times New Roman"/>
          <w:sz w:val="24"/>
          <w:szCs w:val="24"/>
        </w:rPr>
        <w:t xml:space="preserve">Rolling means are computed over k=3 and k=24 hour windows for GHI and load demand. The 3-hour mean captures short-term generation momentum (whether irradiance is rising, stable, or declining). The 24-hour mean provides a reference level representing the typical daily resource quality, allowing the LSTM to identify whether the current period is above or below its historical average.</w:t>
      </w:r>
    </w:p>
    <w:p>
      <w:pPr>
        <w:spacing w:after="160" w:before="0" w:line="360" w:lineRule="auto"/>
      </w:pPr>
    </w:p>
    <w:p>
      <w:pPr>
        <w:spacing w:after="160" w:before="360" w:line="360" w:lineRule="auto"/>
        <w:jc w:val="left"/>
      </w:pPr>
      <w:r>
        <w:rPr>
          <w:rFonts w:ascii="Times New Roman" w:cs="Times New Roman" w:eastAsia="Times New Roman" w:hAnsi="Times New Roman"/>
          <w:sz w:val="28"/>
          <w:szCs w:val="28"/>
        </w:rPr>
        <w:t xml:space="preserve">2.8   Economic Performance Metrics</w:t>
      </w:r>
    </w:p>
    <w:p>
      <w:pPr>
        <w:spacing w:after="200" w:before="0" w:line="360" w:lineRule="auto"/>
        <w:jc w:val="left"/>
      </w:pPr>
      <w:r>
        <w:rPr>
          <w:rFonts w:ascii="Times New Roman" w:cs="Times New Roman" w:eastAsia="Times New Roman" w:hAnsi="Times New Roman"/>
          <w:b/>
          <w:bCs/>
          <w:sz w:val="24"/>
          <w:szCs w:val="24"/>
        </w:rPr>
        <w:t xml:space="preserve">Equation 2.11 (Cost Saving %):   </w:t>
      </w:r>
      <w:r>
        <w:rPr>
          <w:rFonts w:ascii="Times New Roman" w:cs="Times New Roman" w:eastAsia="Times New Roman" w:hAnsi="Times New Roman"/>
          <w:sz w:val="24"/>
          <w:szCs w:val="24"/>
        </w:rPr>
        <w:t xml:space="preserve">Saving%  =  (Cost_baseline - Cost_DRL) / Cost_baseline  x  100</w:t>
      </w:r>
    </w:p>
    <w:p>
      <w:pPr>
        <w:spacing w:after="200" w:before="0" w:line="360" w:lineRule="auto"/>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  (41165.47 - 36130.22) / 41165.47  x  100  =  12.23%</w:t>
      </w:r>
    </w:p>
    <w:p>
      <w:pPr>
        <w:spacing w:after="200" w:before="0" w:line="360" w:lineRule="auto"/>
        <w:jc w:val="left"/>
      </w:pPr>
      <w:r>
        <w:rPr>
          <w:rFonts w:ascii="Times New Roman" w:cs="Times New Roman" w:eastAsia="Times New Roman" w:hAnsi="Times New Roman"/>
          <w:b/>
          <w:bCs/>
          <w:sz w:val="24"/>
          <w:szCs w:val="24"/>
        </w:rPr>
        <w:t xml:space="preserve">Equation 2.12 (Tariff Arbitrage Margin per cycle):   </w:t>
      </w:r>
      <w:r>
        <w:rPr>
          <w:rFonts w:ascii="Times New Roman" w:cs="Times New Roman" w:eastAsia="Times New Roman" w:hAnsi="Times New Roman"/>
          <w:sz w:val="24"/>
          <w:szCs w:val="24"/>
        </w:rPr>
        <w:t xml:space="preserve">Margin  =  C_max x (Tariff_peak - Tariff_offpeak) x eta^2</w:t>
      </w:r>
    </w:p>
    <w:p>
      <w:pPr>
        <w:spacing w:after="200" w:before="0" w:line="360" w:lineRule="auto"/>
        <w:jc w:val="left"/>
      </w:pPr>
      <w:r>
        <w:rPr>
          <w:rFonts w:ascii="Times New Roman" w:cs="Times New Roman" w:eastAsia="Times New Roman" w:hAnsi="Times New Roman"/>
          <w:b/>
          <w:bCs/>
          <w:sz w:val="24"/>
          <w:szCs w:val="24"/>
        </w:rPr>
        <w:t xml:space="preserve">                                                   </w:t>
      </w:r>
      <w:r>
        <w:rPr>
          <w:rFonts w:ascii="Times New Roman" w:cs="Times New Roman" w:eastAsia="Times New Roman" w:hAnsi="Times New Roman"/>
          <w:sz w:val="24"/>
          <w:szCs w:val="24"/>
        </w:rPr>
        <w:t xml:space="preserve">=  180  x  (11.5 - 3.0)  x  0.965^2  =  Rs1,431 per full cycle (theoretical max)</w:t>
      </w:r>
    </w:p>
    <w:p>
      <w:pPr>
        <w:spacing w:after="200" w:before="0" w:line="360" w:lineRule="auto"/>
        <w:jc w:val="both"/>
      </w:pPr>
      <w:r>
        <w:rPr>
          <w:rFonts w:ascii="Times New Roman" w:cs="Times New Roman" w:eastAsia="Times New Roman" w:hAnsi="Times New Roman"/>
          <w:sz w:val="24"/>
          <w:szCs w:val="24"/>
        </w:rPr>
        <w:t xml:space="preserve">The theoretical maximum arbitrage margin per full charge-discharge cycle is Rs1,431. The DRL agent achieves approximately Rs719 per day over the 7-day evaluation window (Rs5,035 / 7), representing approximately 50% capture of the theoretical maximum. The gap between theoretical and achieved margin is accounted for by: partial SoC utilization (staying within 20%-95% bounds limits usable capacity to 75% of nominal, or 135 kWh instead of 180 kWh), forecast errors causing suboptimal timing decisions, and days where solar generation reduces the overnight charging requirement.</w:t>
      </w:r>
    </w:p>
    <w:p>
      <w:pPr>
        <w:spacing w:after="0" w:before="0" w:line="360" w:lineRule="auto"/>
      </w:pPr>
      <w:r>
        <w:br w:type="page"/>
      </w:r>
    </w:p>
    <w:p>
      <w:pPr>
        <w:spacing w:after="320" w:before="480" w:line="360" w:lineRule="auto"/>
        <w:jc w:val="center"/>
      </w:pPr>
      <w:r>
        <w:rPr>
          <w:rFonts w:ascii="Times New Roman" w:cs="Times New Roman" w:eastAsia="Times New Roman" w:hAnsi="Times New Roman"/>
          <w:b/>
          <w:bCs/>
          <w:sz w:val="32"/>
          <w:szCs w:val="32"/>
        </w:rPr>
        <w:t xml:space="preserve">SECTION 3: EXPLANATION OF EVERY TECHNICAL TERM USED IN THE PROJECT</w:t>
      </w:r>
    </w:p>
    <w:p>
      <w:pPr>
        <w:spacing w:after="200" w:before="0" w:line="360" w:lineRule="auto"/>
        <w:jc w:val="both"/>
      </w:pPr>
      <w:r>
        <w:rPr>
          <w:rFonts w:ascii="Times New Roman" w:cs="Times New Roman" w:eastAsia="Times New Roman" w:hAnsi="Times New Roman"/>
          <w:sz w:val="24"/>
          <w:szCs w:val="24"/>
        </w:rPr>
        <w:t xml:space="preserve">This section provides a comprehensive plain-English explanation of every technical term, acronym, and concept referenced in this project. Terms are organized by conceptual domain for clarity.</w:t>
      </w:r>
    </w:p>
    <w:p>
      <w:pPr>
        <w:spacing w:after="160" w:before="0" w:line="360" w:lineRule="auto"/>
      </w:pPr>
    </w:p>
    <w:p>
      <w:pPr>
        <w:spacing w:after="160" w:before="360" w:line="360" w:lineRule="auto"/>
        <w:jc w:val="left"/>
      </w:pPr>
      <w:r>
        <w:rPr>
          <w:rFonts w:ascii="Times New Roman" w:cs="Times New Roman" w:eastAsia="Times New Roman" w:hAnsi="Times New Roman"/>
          <w:sz w:val="28"/>
          <w:szCs w:val="28"/>
        </w:rPr>
        <w:t xml:space="preserve">3.1   Power Systems and Energy Terms</w:t>
      </w:r>
    </w:p>
    <w:p>
      <w:pPr>
        <w:spacing w:after="80" w:before="0" w:line="360" w:lineRule="auto"/>
      </w:pPr>
    </w:p>
    <w:p>
      <w:pPr>
        <w:spacing w:after="100" w:before="200" w:line="360" w:lineRule="auto"/>
        <w:jc w:val="left"/>
      </w:pPr>
      <w:r>
        <w:rPr>
          <w:rFonts w:ascii="Times New Roman" w:cs="Times New Roman" w:eastAsia="Times New Roman" w:hAnsi="Times New Roman"/>
          <w:b/>
          <w:bCs/>
          <w:sz w:val="24"/>
          <w:szCs w:val="24"/>
        </w:rPr>
        <w:t xml:space="preserve">Microgrid</w:t>
      </w:r>
    </w:p>
    <w:p>
      <w:pPr>
        <w:spacing w:after="200" w:before="0" w:line="360" w:lineRule="auto"/>
        <w:jc w:val="both"/>
      </w:pPr>
      <w:r>
        <w:rPr>
          <w:rFonts w:ascii="Times New Roman" w:cs="Times New Roman" w:eastAsia="Times New Roman" w:hAnsi="Times New Roman"/>
          <w:sz w:val="24"/>
          <w:szCs w:val="24"/>
        </w:rPr>
        <w:t xml:space="preserve">A microgrid is a small, self-contained electrical power system that generates, stores, and distributes electricity within a defined geographic boundary — such as a factory campus, hospital, university, or residential block. Unlike the national grid (which is centrally managed and serves millions of customers), a microgrid serves a single facility or small cluster of users and can operate independently from the national grid when needed. Think of it as a mini power plant and distribution system all in one.</w:t>
      </w:r>
    </w:p>
    <w:p>
      <w:pPr>
        <w:spacing w:after="100" w:before="200" w:line="360" w:lineRule="auto"/>
        <w:jc w:val="left"/>
      </w:pPr>
      <w:r>
        <w:rPr>
          <w:rFonts w:ascii="Times New Roman" w:cs="Times New Roman" w:eastAsia="Times New Roman" w:hAnsi="Times New Roman"/>
          <w:b/>
          <w:bCs/>
          <w:sz w:val="24"/>
          <w:szCs w:val="24"/>
        </w:rPr>
        <w:t xml:space="preserve">Battery Energy Storage System (BESS)</w:t>
      </w:r>
    </w:p>
    <w:p>
      <w:pPr>
        <w:spacing w:after="200" w:before="0" w:line="360" w:lineRule="auto"/>
        <w:jc w:val="both"/>
      </w:pPr>
      <w:r>
        <w:rPr>
          <w:rFonts w:ascii="Times New Roman" w:cs="Times New Roman" w:eastAsia="Times New Roman" w:hAnsi="Times New Roman"/>
          <w:sz w:val="24"/>
          <w:szCs w:val="24"/>
        </w:rPr>
        <w:t xml:space="preserve">A BESS is a large bank of rechargeable batteries — in this project, lithium-ion chemistry — connected to the electrical system to store excess generated energy and release it later on demand. The project simulates a 180 kWh BESS, which is roughly equivalent to the battery capacity of six Tesla Model 3 electric vehicles combined. Just as a phone battery stores charge when plugged in and releases it when the phone is being used, the BESS stores cheap grid electricity overnight and releases it during expensive peak hours.</w:t>
      </w:r>
    </w:p>
    <w:p>
      <w:pPr>
        <w:spacing w:after="100" w:before="200" w:line="360" w:lineRule="auto"/>
        <w:jc w:val="left"/>
      </w:pPr>
      <w:r>
        <w:rPr>
          <w:rFonts w:ascii="Times New Roman" w:cs="Times New Roman" w:eastAsia="Times New Roman" w:hAnsi="Times New Roman"/>
          <w:b/>
          <w:bCs/>
          <w:sz w:val="24"/>
          <w:szCs w:val="24"/>
        </w:rPr>
        <w:t xml:space="preserve">State of Charge (SoC)</w:t>
      </w:r>
    </w:p>
    <w:p>
      <w:pPr>
        <w:spacing w:after="200" w:before="0" w:line="360" w:lineRule="auto"/>
        <w:jc w:val="both"/>
      </w:pPr>
      <w:r>
        <w:rPr>
          <w:rFonts w:ascii="Times New Roman" w:cs="Times New Roman" w:eastAsia="Times New Roman" w:hAnsi="Times New Roman"/>
          <w:sz w:val="24"/>
          <w:szCs w:val="24"/>
        </w:rPr>
        <w:t xml:space="preserve">SoC is the current level of energy stored in the battery expressed as a percentage of its maximum capacity, exactly analogous to a fuel gauge. SoC = 100% means the battery is fully charged (180 kWh stored). SoC = 0% means completely empty. In this project, SoC is hard-constrained to remain within 20%-95% to protect the battery: dropping below 20% causes permanent chemical damage (deep discharge), while exceeding 95% risks overheating (thermal runaway).</w:t>
      </w:r>
    </w:p>
    <w:p>
      <w:pPr>
        <w:spacing w:after="100" w:before="200" w:line="360" w:lineRule="auto"/>
        <w:jc w:val="left"/>
      </w:pPr>
      <w:r>
        <w:rPr>
          <w:rFonts w:ascii="Times New Roman" w:cs="Times New Roman" w:eastAsia="Times New Roman" w:hAnsi="Times New Roman"/>
          <w:b/>
          <w:bCs/>
          <w:sz w:val="24"/>
          <w:szCs w:val="24"/>
        </w:rPr>
        <w:t xml:space="preserve">Time-of-Use (ToU) Tariff</w:t>
      </w:r>
    </w:p>
    <w:p>
      <w:pPr>
        <w:spacing w:after="200" w:before="0" w:line="360" w:lineRule="auto"/>
        <w:jc w:val="both"/>
      </w:pPr>
      <w:r>
        <w:rPr>
          <w:rFonts w:ascii="Times New Roman" w:cs="Times New Roman" w:eastAsia="Times New Roman" w:hAnsi="Times New Roman"/>
          <w:sz w:val="24"/>
          <w:szCs w:val="24"/>
        </w:rPr>
        <w:t xml:space="preserve">A ToU tariff is an electricity pricing structure where the cost per kilowatt-hour varies by time of day, reflecting the national grid's supply-demand balance. Electricity is cheap overnight when demand is low and power stations have surplus capacity (Rs3.0/kWh in this project). It is expensive during the evening peak when millions of businesses and homes all draw maximum power simultaneously (Rs11.5/kWh). ToU pricing creates the economic incentive for energy storage: buy cheap, store, sell/use during peak.</w:t>
      </w:r>
    </w:p>
    <w:p>
      <w:pPr>
        <w:spacing w:after="100" w:before="200" w:line="360" w:lineRule="auto"/>
        <w:jc w:val="left"/>
      </w:pPr>
      <w:r>
        <w:rPr>
          <w:rFonts w:ascii="Times New Roman" w:cs="Times New Roman" w:eastAsia="Times New Roman" w:hAnsi="Times New Roman"/>
          <w:b/>
          <w:bCs/>
          <w:sz w:val="24"/>
          <w:szCs w:val="24"/>
        </w:rPr>
        <w:t xml:space="preserve">Energy Arbitrage</w:t>
      </w:r>
    </w:p>
    <w:p>
      <w:pPr>
        <w:spacing w:after="200" w:before="0" w:line="360" w:lineRule="auto"/>
        <w:jc w:val="both"/>
      </w:pPr>
      <w:r>
        <w:rPr>
          <w:rFonts w:ascii="Times New Roman" w:cs="Times New Roman" w:eastAsia="Times New Roman" w:hAnsi="Times New Roman"/>
          <w:sz w:val="24"/>
          <w:szCs w:val="24"/>
        </w:rPr>
        <w:t xml:space="preserve">Arbitrage means profiting from a price difference between two markets or time periods. Energy arbitrage means buying electricity when it is cheap (overnight off-peak at Rs3/kWh), storing it in a battery, and then using that stored electricity instead of buying from the grid when prices are high (evening peak at Rs11.5/kWh). The financial gain is the difference in tariff rates minus the efficiency losses from the storage-retrieval cycle.</w:t>
      </w:r>
    </w:p>
    <w:p>
      <w:pPr>
        <w:spacing w:after="100" w:before="200" w:line="360" w:lineRule="auto"/>
        <w:jc w:val="left"/>
      </w:pPr>
      <w:r>
        <w:rPr>
          <w:rFonts w:ascii="Times New Roman" w:cs="Times New Roman" w:eastAsia="Times New Roman" w:hAnsi="Times New Roman"/>
          <w:b/>
          <w:bCs/>
          <w:sz w:val="24"/>
          <w:szCs w:val="24"/>
        </w:rPr>
        <w:t xml:space="preserve">Island Mode / Islanding</w:t>
      </w:r>
    </w:p>
    <w:p>
      <w:pPr>
        <w:spacing w:after="200" w:before="0" w:line="360" w:lineRule="auto"/>
        <w:jc w:val="both"/>
      </w:pPr>
      <w:r>
        <w:rPr>
          <w:rFonts w:ascii="Times New Roman" w:cs="Times New Roman" w:eastAsia="Times New Roman" w:hAnsi="Times New Roman"/>
          <w:sz w:val="24"/>
          <w:szCs w:val="24"/>
        </w:rPr>
        <w:t xml:space="preserve">Island Mode means the microgrid is operating completely disconnected from the national grid, relying entirely on local generation (solar, wind) and battery storage to meet demand. During islanding, the grid import is zero by definition. A microgrid might island voluntarily (to avoid peak tariffs) or involuntarily (due to a grid fault). In this project, Island Mode is available as a manual operator override that severs the grid connection and forces the AI to operate purely on local resources.</w:t>
      </w:r>
    </w:p>
    <w:p>
      <w:pPr>
        <w:spacing w:after="100" w:before="200" w:line="360" w:lineRule="auto"/>
        <w:jc w:val="left"/>
      </w:pPr>
      <w:r>
        <w:rPr>
          <w:rFonts w:ascii="Times New Roman" w:cs="Times New Roman" w:eastAsia="Times New Roman" w:hAnsi="Times New Roman"/>
          <w:b/>
          <w:bCs/>
          <w:sz w:val="24"/>
          <w:szCs w:val="24"/>
        </w:rPr>
        <w:t xml:space="preserve">Distributed Energy Resources (DERs)</w:t>
      </w:r>
    </w:p>
    <w:p>
      <w:pPr>
        <w:spacing w:after="200" w:before="0" w:line="360" w:lineRule="auto"/>
        <w:jc w:val="both"/>
      </w:pPr>
      <w:r>
        <w:rPr>
          <w:rFonts w:ascii="Times New Roman" w:cs="Times New Roman" w:eastAsia="Times New Roman" w:hAnsi="Times New Roman"/>
          <w:sz w:val="24"/>
          <w:szCs w:val="24"/>
        </w:rPr>
        <w:t xml:space="preserve">DERs are small-scale power generation or storage assets located at or near the point of use, as opposed to large centralized power stations. Solar panels on a rooftop, a wind turbine on a building, and a battery storage system are all DERs. The proliferation of DERs is what makes intelligent energy management necessary: instead of simply managing a single connection to the national grid, facility operators must now coordinate multiple generation sources with variable and uncertain outputs.</w:t>
      </w:r>
    </w:p>
    <w:p>
      <w:pPr>
        <w:spacing w:after="100" w:before="200" w:line="360" w:lineRule="auto"/>
        <w:jc w:val="left"/>
      </w:pPr>
      <w:r>
        <w:rPr>
          <w:rFonts w:ascii="Times New Roman" w:cs="Times New Roman" w:eastAsia="Times New Roman" w:hAnsi="Times New Roman"/>
          <w:b/>
          <w:bCs/>
          <w:sz w:val="24"/>
          <w:szCs w:val="24"/>
        </w:rPr>
        <w:t xml:space="preserve">SCADA (Supervisory Control and Data Acquisition)</w:t>
      </w:r>
    </w:p>
    <w:p>
      <w:pPr>
        <w:spacing w:after="200" w:before="0" w:line="360" w:lineRule="auto"/>
        <w:jc w:val="both"/>
      </w:pPr>
      <w:r>
        <w:rPr>
          <w:rFonts w:ascii="Times New Roman" w:cs="Times New Roman" w:eastAsia="Times New Roman" w:hAnsi="Times New Roman"/>
          <w:sz w:val="24"/>
          <w:szCs w:val="24"/>
        </w:rPr>
        <w:t xml:space="preserve">SCADA is an industrial control system architecture used in power plants, factories, water treatment facilities, and other critical infrastructure to monitor and control physical processes remotely. A SCADA system collects real-time data from sensors (temperature, pressure, voltage, current) and displays it to operators through a Human-Machine Interface (HMI), while also allowing operators to send control commands back to physical actuators. The dashboard built in this project is styled and functionally modelled after professional SCADA HMIs.</w:t>
      </w:r>
    </w:p>
    <w:p>
      <w:pPr>
        <w:spacing w:after="160" w:before="0" w:line="360" w:lineRule="auto"/>
      </w:pPr>
    </w:p>
    <w:p>
      <w:pPr>
        <w:spacing w:after="160" w:before="360" w:line="360" w:lineRule="auto"/>
        <w:jc w:val="left"/>
      </w:pPr>
      <w:r>
        <w:rPr>
          <w:rFonts w:ascii="Times New Roman" w:cs="Times New Roman" w:eastAsia="Times New Roman" w:hAnsi="Times New Roman"/>
          <w:sz w:val="28"/>
          <w:szCs w:val="28"/>
        </w:rPr>
        <w:t xml:space="preserve">3.2   Artificial Intelligence and Machine Learning Terms</w:t>
      </w:r>
    </w:p>
    <w:p>
      <w:pPr>
        <w:spacing w:after="80" w:before="0" w:line="360" w:lineRule="auto"/>
      </w:pPr>
    </w:p>
    <w:p>
      <w:pPr>
        <w:spacing w:after="100" w:before="200" w:line="360" w:lineRule="auto"/>
        <w:jc w:val="left"/>
      </w:pPr>
      <w:r>
        <w:rPr>
          <w:rFonts w:ascii="Times New Roman" w:cs="Times New Roman" w:eastAsia="Times New Roman" w:hAnsi="Times New Roman"/>
          <w:b/>
          <w:bCs/>
          <w:sz w:val="24"/>
          <w:szCs w:val="24"/>
        </w:rPr>
        <w:t xml:space="preserve">Long Short-Term Memory (LSTM)</w:t>
      </w:r>
    </w:p>
    <w:p>
      <w:pPr>
        <w:spacing w:after="200" w:before="0" w:line="360" w:lineRule="auto"/>
        <w:jc w:val="both"/>
      </w:pPr>
      <w:r>
        <w:rPr>
          <w:rFonts w:ascii="Times New Roman" w:cs="Times New Roman" w:eastAsia="Times New Roman" w:hAnsi="Times New Roman"/>
          <w:sz w:val="24"/>
          <w:szCs w:val="24"/>
        </w:rPr>
        <w:t xml:space="preserve">An LSTM is a type of artificial neural network specifically designed to learn patterns in sequences of data where the order of elements matters and where important context may be separated by many time steps. Unlike standard neural networks that process each input independently, an LSTM maintains an internal memory state (the cell state) that it selectively updates and reads at each step. In this project, the LSTM looks at the past 48 hours of weather and load data and uses the patterns it has learned during training to predict what solar generation and load demand will be over the next 24 hours.</w:t>
      </w:r>
    </w:p>
    <w:p>
      <w:pPr>
        <w:spacing w:after="100" w:before="200" w:line="360" w:lineRule="auto"/>
        <w:jc w:val="left"/>
      </w:pPr>
      <w:r>
        <w:rPr>
          <w:rFonts w:ascii="Times New Roman" w:cs="Times New Roman" w:eastAsia="Times New Roman" w:hAnsi="Times New Roman"/>
          <w:b/>
          <w:bCs/>
          <w:sz w:val="24"/>
          <w:szCs w:val="24"/>
        </w:rPr>
        <w:t xml:space="preserve">Reinforcement Learning (RL)</w:t>
      </w:r>
    </w:p>
    <w:p>
      <w:pPr>
        <w:spacing w:after="200" w:before="0" w:line="360" w:lineRule="auto"/>
        <w:jc w:val="both"/>
      </w:pPr>
      <w:r>
        <w:rPr>
          <w:rFonts w:ascii="Times New Roman" w:cs="Times New Roman" w:eastAsia="Times New Roman" w:hAnsi="Times New Roman"/>
          <w:sz w:val="24"/>
          <w:szCs w:val="24"/>
        </w:rPr>
        <w:t xml:space="preserve">Reinforcement Learning is a branch of machine learning where an agent learns to make decisions by interacting with an environment and receiving rewards or penalties for its actions. The agent has no prior knowledge of the environment's rules — it must discover them through trial and error, just as a human learns to play a new game. In this project, the RL agent is the battery dispatch controller, the environment is the simulated microgrid, and the reward is the negative grid import cost. The agent learns that charging during cheap hours and discharging during expensive hours maximizes its cumulative reward.</w:t>
      </w:r>
    </w:p>
    <w:p>
      <w:pPr>
        <w:spacing w:after="100" w:before="200" w:line="360" w:lineRule="auto"/>
        <w:jc w:val="left"/>
      </w:pPr>
      <w:r>
        <w:rPr>
          <w:rFonts w:ascii="Times New Roman" w:cs="Times New Roman" w:eastAsia="Times New Roman" w:hAnsi="Times New Roman"/>
          <w:b/>
          <w:bCs/>
          <w:sz w:val="24"/>
          <w:szCs w:val="24"/>
        </w:rPr>
        <w:t xml:space="preserve">Deep Reinforcement Learning (DRL)</w:t>
      </w:r>
    </w:p>
    <w:p>
      <w:pPr>
        <w:spacing w:after="200" w:before="0" w:line="360" w:lineRule="auto"/>
        <w:jc w:val="both"/>
      </w:pPr>
      <w:r>
        <w:rPr>
          <w:rFonts w:ascii="Times New Roman" w:cs="Times New Roman" w:eastAsia="Times New Roman" w:hAnsi="Times New Roman"/>
          <w:sz w:val="24"/>
          <w:szCs w:val="24"/>
        </w:rPr>
        <w:t xml:space="preserve">DRL combines Reinforcement Learning with Deep Neural Networks. Instead of using a simple lookup table to store the learned policy (which is infeasible for continuous state spaces), DRL uses a neural network to approximate the policy function — mapping from any observed state to the optimal action. Deep neural networks can represent complex, non-linear patterns in high-dimensional data, making DRL applicable to real-world problems with many variables and continuous action spaces that tabular RL methods cannot handle.</w:t>
      </w:r>
    </w:p>
    <w:p>
      <w:pPr>
        <w:spacing w:after="100" w:before="200" w:line="360" w:lineRule="auto"/>
        <w:jc w:val="left"/>
      </w:pPr>
      <w:r>
        <w:rPr>
          <w:rFonts w:ascii="Times New Roman" w:cs="Times New Roman" w:eastAsia="Times New Roman" w:hAnsi="Times New Roman"/>
          <w:b/>
          <w:bCs/>
          <w:sz w:val="24"/>
          <w:szCs w:val="24"/>
        </w:rPr>
        <w:t xml:space="preserve">Proximal Policy Optimization (PPO)</w:t>
      </w:r>
    </w:p>
    <w:p>
      <w:pPr>
        <w:spacing w:after="200" w:before="0" w:line="360" w:lineRule="auto"/>
        <w:jc w:val="both"/>
      </w:pPr>
      <w:r>
        <w:rPr>
          <w:rFonts w:ascii="Times New Roman" w:cs="Times New Roman" w:eastAsia="Times New Roman" w:hAnsi="Times New Roman"/>
          <w:sz w:val="24"/>
          <w:szCs w:val="24"/>
        </w:rPr>
        <w:t xml:space="preserve">PPO is a specific DRL algorithm developed by OpenAI in 2017 that trains the policy neural network using a cleverly constrained gradient update. The key innovation is the clipped surrogate objective function: it prevents the policy from changing too drastically in a single training step by clipping the probability ratio between the old and new policy to a narrow range around 1.0. This conservative update mechanism produces stable, monotonically improving learning curves and makes PPO one of the most reliable and widely-used DRL algorithms for continuous control tasks.</w:t>
      </w:r>
    </w:p>
    <w:p>
      <w:pPr>
        <w:spacing w:after="100" w:before="200" w:line="360" w:lineRule="auto"/>
        <w:jc w:val="left"/>
      </w:pPr>
      <w:r>
        <w:rPr>
          <w:rFonts w:ascii="Times New Roman" w:cs="Times New Roman" w:eastAsia="Times New Roman" w:hAnsi="Times New Roman"/>
          <w:b/>
          <w:bCs/>
          <w:sz w:val="24"/>
          <w:szCs w:val="24"/>
        </w:rPr>
        <w:t xml:space="preserve">Markov Decision Process (MDP)</w:t>
      </w:r>
    </w:p>
    <w:p>
      <w:pPr>
        <w:spacing w:after="200" w:before="0" w:line="360" w:lineRule="auto"/>
        <w:jc w:val="both"/>
      </w:pPr>
      <w:r>
        <w:rPr>
          <w:rFonts w:ascii="Times New Roman" w:cs="Times New Roman" w:eastAsia="Times New Roman" w:hAnsi="Times New Roman"/>
          <w:sz w:val="24"/>
          <w:szCs w:val="24"/>
        </w:rPr>
        <w:t xml:space="preserve">An MDP is the mathematical framework used to formalize sequential decision-making problems. It assumes that the future state of the system depends only on the current state and the current action — not on the full history of past states (the Markov property). This simplification makes the problem mathematically tractable while being a reasonable approximation for most real control problems. The microgrid dispatch problem satisfies the Markov property reasonably well: knowing the current solar output, load, SoC, and tariff is sufficient to make a good dispatch decision without needing to remember all previous states.</w:t>
      </w:r>
    </w:p>
    <w:p>
      <w:pPr>
        <w:spacing w:after="100" w:before="200" w:line="360" w:lineRule="auto"/>
        <w:jc w:val="left"/>
      </w:pPr>
      <w:r>
        <w:rPr>
          <w:rFonts w:ascii="Times New Roman" w:cs="Times New Roman" w:eastAsia="Times New Roman" w:hAnsi="Times New Roman"/>
          <w:b/>
          <w:bCs/>
          <w:sz w:val="24"/>
          <w:szCs w:val="24"/>
        </w:rPr>
        <w:t xml:space="preserve">Reward Function</w:t>
      </w:r>
    </w:p>
    <w:p>
      <w:pPr>
        <w:spacing w:after="200" w:before="0" w:line="360" w:lineRule="auto"/>
        <w:jc w:val="both"/>
      </w:pPr>
      <w:r>
        <w:rPr>
          <w:rFonts w:ascii="Times New Roman" w:cs="Times New Roman" w:eastAsia="Times New Roman" w:hAnsi="Times New Roman"/>
          <w:sz w:val="24"/>
          <w:szCs w:val="24"/>
        </w:rPr>
        <w:t xml:space="preserve">The reward function defines what the RL agent is trying to maximize. In this project, the reward at each timestep is the negative cost of grid import (plus a constraint penalty for safety violations). By maximizing cumulative reward over many timesteps, the agent automatically learns to minimize cumulative grid import costs while respecting the battery's physical constraints. The design of the reward function is arguably the most important engineering decision in any RL project: a poorly designed reward function will cause the agent to learn unexpected, suboptimal, or unsafe behaviors.</w:t>
      </w:r>
    </w:p>
    <w:p>
      <w:pPr>
        <w:spacing w:after="100" w:before="200" w:line="360" w:lineRule="auto"/>
        <w:jc w:val="left"/>
      </w:pPr>
      <w:r>
        <w:rPr>
          <w:rFonts w:ascii="Times New Roman" w:cs="Times New Roman" w:eastAsia="Times New Roman" w:hAnsi="Times New Roman"/>
          <w:b/>
          <w:bCs/>
          <w:sz w:val="24"/>
          <w:szCs w:val="24"/>
        </w:rPr>
        <w:t xml:space="preserve">Policy and Policy Network</w:t>
      </w:r>
    </w:p>
    <w:p>
      <w:pPr>
        <w:spacing w:after="200" w:before="0" w:line="360" w:lineRule="auto"/>
        <w:jc w:val="both"/>
      </w:pPr>
      <w:r>
        <w:rPr>
          <w:rFonts w:ascii="Times New Roman" w:cs="Times New Roman" w:eastAsia="Times New Roman" w:hAnsi="Times New Roman"/>
          <w:sz w:val="24"/>
          <w:szCs w:val="24"/>
        </w:rPr>
        <w:t xml:space="preserve">In RL terminology, the policy is the rule that the agent uses to decide which action to take in any given state. In DRL, the policy is represented as a neural network (the policy network) whose inputs are the current state variables and whose output is the recommended action. The PPO training process adjusts the weights of this network to gradually improve the policy until it converges to near-optimal behavior. Once training is complete, the policy network weights are frozen and deployed — at inference time, the network simply performs a forward pass to compute the dispatch action in under one millisecond.</w:t>
      </w:r>
    </w:p>
    <w:p>
      <w:pPr>
        <w:spacing w:after="100" w:before="200" w:line="360" w:lineRule="auto"/>
        <w:jc w:val="left"/>
      </w:pPr>
      <w:r>
        <w:rPr>
          <w:rFonts w:ascii="Times New Roman" w:cs="Times New Roman" w:eastAsia="Times New Roman" w:hAnsi="Times New Roman"/>
          <w:b/>
          <w:bCs/>
          <w:sz w:val="24"/>
          <w:szCs w:val="24"/>
        </w:rPr>
        <w:t xml:space="preserve">Advantage Function</w:t>
      </w:r>
    </w:p>
    <w:p>
      <w:pPr>
        <w:spacing w:after="200" w:before="0" w:line="360" w:lineRule="auto"/>
        <w:jc w:val="both"/>
      </w:pPr>
      <w:r>
        <w:rPr>
          <w:rFonts w:ascii="Times New Roman" w:cs="Times New Roman" w:eastAsia="Times New Roman" w:hAnsi="Times New Roman"/>
          <w:sz w:val="24"/>
          <w:szCs w:val="24"/>
        </w:rPr>
        <w:t xml:space="preserve">The advantage function A_hat_t measures how much better (or worse) a specific action was compared to what the agent would typically do in that state. A positive advantage means the action was better than average; a negative advantage means it was worse. The PPO training uses the advantage estimate to determine in which direction and by how much to adjust the policy network's weights. Actions with high positive advantages are made more probable; actions with negative advantages are made less probable.</w:t>
      </w:r>
    </w:p>
    <w:p>
      <w:pPr>
        <w:spacing w:after="100" w:before="200" w:line="360" w:lineRule="auto"/>
        <w:jc w:val="left"/>
      </w:pPr>
      <w:r>
        <w:rPr>
          <w:rFonts w:ascii="Times New Roman" w:cs="Times New Roman" w:eastAsia="Times New Roman" w:hAnsi="Times New Roman"/>
          <w:b/>
          <w:bCs/>
          <w:sz w:val="24"/>
          <w:szCs w:val="24"/>
        </w:rPr>
        <w:t xml:space="preserve">Explainable AI (XAI)</w:t>
      </w:r>
    </w:p>
    <w:p>
      <w:pPr>
        <w:spacing w:after="200" w:before="0" w:line="360" w:lineRule="auto"/>
        <w:jc w:val="both"/>
      </w:pPr>
      <w:r>
        <w:rPr>
          <w:rFonts w:ascii="Times New Roman" w:cs="Times New Roman" w:eastAsia="Times New Roman" w:hAnsi="Times New Roman"/>
          <w:sz w:val="24"/>
          <w:szCs w:val="24"/>
        </w:rPr>
        <w:t xml:space="preserve">XAI refers to methods and techniques that make AI decision-making understandable to humans. Standard neural networks are often called 'black boxes' because their internal computations involve millions of numerical weights that do not directly correspond to human-understandable concepts. XAI techniques attempt to bridge this gap. In this project, XAI is implemented through a deterministic rule-based translation layer that converts the network's continuous action output into a pre-authored English sentence explaining the economic reasoning behind the decision — making the AI's behavior auditable without requiring any understanding of neural network internals.</w:t>
      </w:r>
    </w:p>
    <w:p>
      <w:pPr>
        <w:spacing w:after="160" w:before="0" w:line="360" w:lineRule="auto"/>
      </w:pPr>
    </w:p>
    <w:p>
      <w:pPr>
        <w:spacing w:after="160" w:before="360" w:line="360" w:lineRule="auto"/>
        <w:jc w:val="left"/>
      </w:pPr>
      <w:r>
        <w:rPr>
          <w:rFonts w:ascii="Times New Roman" w:cs="Times New Roman" w:eastAsia="Times New Roman" w:hAnsi="Times New Roman"/>
          <w:sz w:val="28"/>
          <w:szCs w:val="28"/>
        </w:rPr>
        <w:t xml:space="preserve">3.3   Software and Architecture Terms</w:t>
      </w:r>
    </w:p>
    <w:p>
      <w:pPr>
        <w:spacing w:after="80" w:before="0" w:line="360" w:lineRule="auto"/>
      </w:pPr>
    </w:p>
    <w:p>
      <w:pPr>
        <w:spacing w:after="100" w:before="200" w:line="360" w:lineRule="auto"/>
        <w:jc w:val="left"/>
      </w:pPr>
      <w:r>
        <w:rPr>
          <w:rFonts w:ascii="Times New Roman" w:cs="Times New Roman" w:eastAsia="Times New Roman" w:hAnsi="Times New Roman"/>
          <w:b/>
          <w:bCs/>
          <w:sz w:val="24"/>
          <w:szCs w:val="24"/>
        </w:rPr>
        <w:t xml:space="preserve">OpenAI Gym</w:t>
      </w:r>
    </w:p>
    <w:p>
      <w:pPr>
        <w:spacing w:after="200" w:before="0" w:line="360" w:lineRule="auto"/>
        <w:jc w:val="both"/>
      </w:pPr>
      <w:r>
        <w:rPr>
          <w:rFonts w:ascii="Times New Roman" w:cs="Times New Roman" w:eastAsia="Times New Roman" w:hAnsi="Times New Roman"/>
          <w:sz w:val="24"/>
          <w:szCs w:val="24"/>
        </w:rPr>
        <w:t xml:space="preserve">OpenAI Gym is an open-source Python toolkit that provides a standardized interface for building reinforcement learning environments. Every Gym environment implements the same step(), reset(), and render() methods, allowing any RL algorithm to interact with any environment through a consistent API. In this project, a custom Gym environment (MicrogridPPOEnv) was built to simulate the microgrid physics, ensuring compatibility with the Stable Baselines3 PPO implementation.</w:t>
      </w:r>
    </w:p>
    <w:p>
      <w:pPr>
        <w:spacing w:after="100" w:before="200" w:line="360" w:lineRule="auto"/>
        <w:jc w:val="left"/>
      </w:pPr>
      <w:r>
        <w:rPr>
          <w:rFonts w:ascii="Times New Roman" w:cs="Times New Roman" w:eastAsia="Times New Roman" w:hAnsi="Times New Roman"/>
          <w:b/>
          <w:bCs/>
          <w:sz w:val="24"/>
          <w:szCs w:val="24"/>
        </w:rPr>
        <w:t xml:space="preserve">Stable Baselines3</w:t>
      </w:r>
    </w:p>
    <w:p>
      <w:pPr>
        <w:spacing w:after="200" w:before="0" w:line="360" w:lineRule="auto"/>
        <w:jc w:val="both"/>
      </w:pPr>
      <w:r>
        <w:rPr>
          <w:rFonts w:ascii="Times New Roman" w:cs="Times New Roman" w:eastAsia="Times New Roman" w:hAnsi="Times New Roman"/>
          <w:sz w:val="24"/>
          <w:szCs w:val="24"/>
        </w:rPr>
        <w:t xml:space="preserve">Stable Baselines3 is a Python library that provides clean, research-validated implementations of major DRL algorithms including PPO, A2C, SAC, and TD3. It handles the complex engineering details of DRL training — experience collection, advantage estimation, gradient computation, policy network updates — allowing researchers to focus on the problem domain rather than low-level algorithm implementation. The PPO agent in this project was trained using Stable Baselines3's MlpPolicy (Multi-Layer Perceptron policy) with the custom MicrogridPPOEnv environment.</w:t>
      </w:r>
    </w:p>
    <w:p>
      <w:pPr>
        <w:spacing w:after="100" w:before="200" w:line="360" w:lineRule="auto"/>
        <w:jc w:val="left"/>
      </w:pPr>
      <w:r>
        <w:rPr>
          <w:rFonts w:ascii="Times New Roman" w:cs="Times New Roman" w:eastAsia="Times New Roman" w:hAnsi="Times New Roman"/>
          <w:b/>
          <w:bCs/>
          <w:sz w:val="24"/>
          <w:szCs w:val="24"/>
        </w:rPr>
        <w:t xml:space="preserve">FastAPI</w:t>
      </w:r>
    </w:p>
    <w:p>
      <w:pPr>
        <w:spacing w:after="200" w:before="0" w:line="360" w:lineRule="auto"/>
        <w:jc w:val="both"/>
      </w:pPr>
      <w:r>
        <w:rPr>
          <w:rFonts w:ascii="Times New Roman" w:cs="Times New Roman" w:eastAsia="Times New Roman" w:hAnsi="Times New Roman"/>
          <w:sz w:val="24"/>
          <w:szCs w:val="24"/>
        </w:rPr>
        <w:t xml:space="preserve">FastAPI is a modern Python web framework for building RESTful APIs. It automatically generates documentation, provides data validation, and achieves very high performance through asynchronous request handling. In this project, FastAPI wraps the trained LSTM and PPO model inference functions in HTTP endpoints, allowing the React frontend to send current system state as a JSON POST request and receive the AI's dispatch recommendation and XAI string as a JSON response.</w:t>
      </w:r>
    </w:p>
    <w:p>
      <w:pPr>
        <w:spacing w:after="100" w:before="200" w:line="360" w:lineRule="auto"/>
        <w:jc w:val="left"/>
      </w:pPr>
      <w:r>
        <w:rPr>
          <w:rFonts w:ascii="Times New Roman" w:cs="Times New Roman" w:eastAsia="Times New Roman" w:hAnsi="Times New Roman"/>
          <w:b/>
          <w:bCs/>
          <w:sz w:val="24"/>
          <w:szCs w:val="24"/>
        </w:rPr>
        <w:t xml:space="preserve">React.js and useEffect Hook</w:t>
      </w:r>
    </w:p>
    <w:p>
      <w:pPr>
        <w:spacing w:after="200" w:before="0" w:line="360" w:lineRule="auto"/>
        <w:jc w:val="both"/>
      </w:pPr>
      <w:r>
        <w:rPr>
          <w:rFonts w:ascii="Times New Roman" w:cs="Times New Roman" w:eastAsia="Times New Roman" w:hAnsi="Times New Roman"/>
          <w:sz w:val="24"/>
          <w:szCs w:val="24"/>
        </w:rPr>
        <w:t xml:space="preserve">React.js is a JavaScript library for building user interfaces through reusable components. Each component manages its own state and re-renders automatically when state changes. The useEffect hook allows components to perform side effects — such as polling an API — on a schedule. In this project, a useEffect hook with a 1,500-millisecond interval timer drives the entire real-time dashboard: every 1.5 seconds, it fetches updated telemetry from the FastAPI backend, updates all component states with the new values, and triggers a re-render of all dashboard panels with the latest data.</w:t>
      </w:r>
    </w:p>
    <w:p>
      <w:pPr>
        <w:spacing w:after="100" w:before="200" w:line="360" w:lineRule="auto"/>
        <w:jc w:val="left"/>
      </w:pPr>
      <w:r>
        <w:rPr>
          <w:rFonts w:ascii="Times New Roman" w:cs="Times New Roman" w:eastAsia="Times New Roman" w:hAnsi="Times New Roman"/>
          <w:b/>
          <w:bCs/>
          <w:sz w:val="24"/>
          <w:szCs w:val="24"/>
        </w:rPr>
        <w:t xml:space="preserve">Glassmorphism</w:t>
      </w:r>
    </w:p>
    <w:p>
      <w:pPr>
        <w:spacing w:after="200" w:before="0" w:line="360" w:lineRule="auto"/>
        <w:jc w:val="both"/>
      </w:pPr>
      <w:r>
        <w:rPr>
          <w:rFonts w:ascii="Times New Roman" w:cs="Times New Roman" w:eastAsia="Times New Roman" w:hAnsi="Times New Roman"/>
          <w:sz w:val="24"/>
          <w:szCs w:val="24"/>
        </w:rPr>
        <w:t xml:space="preserve">Glassmorphism is a UI design trend characterized by frosted-glass visual effects: semi-transparent backgrounds with blur applied behind them, creating a depth effect where interface panels appear to float above the background. In CSS3, this is achieved using the backdrop-filter: blur() property. The design was originally inspired by Apple's macOS and iOS interface language and has been adopted in professional data dashboards and financial terminals. In this project, backdrop-filter: blur(16px) applied over a deep-slate (#020617) background creates the characteristic frosted-glass panel appearance.</w:t>
      </w:r>
    </w:p>
    <w:p>
      <w:pPr>
        <w:spacing w:after="0" w:before="0" w:line="360" w:lineRule="auto"/>
      </w:pPr>
      <w:r>
        <w:br w:type="page"/>
      </w:r>
    </w:p>
    <w:p>
      <w:pPr>
        <w:spacing w:after="320" w:before="480" w:line="360" w:lineRule="auto"/>
        <w:jc w:val="center"/>
      </w:pPr>
      <w:r>
        <w:rPr>
          <w:rFonts w:ascii="Times New Roman" w:cs="Times New Roman" w:eastAsia="Times New Roman" w:hAnsi="Times New Roman"/>
          <w:b/>
          <w:bCs/>
          <w:sz w:val="32"/>
          <w:szCs w:val="32"/>
        </w:rPr>
        <w:t xml:space="preserve">SECTION 4: WHY DID THIS TAKE SIXTEEN WEEKS WHEN AI CAN BUILD DASHBOARDS IN HOURS?</w:t>
      </w:r>
    </w:p>
    <w:p>
      <w:pPr>
        <w:spacing w:after="200" w:before="0" w:line="360" w:lineRule="auto"/>
        <w:jc w:val="both"/>
      </w:pPr>
      <w:r>
        <w:rPr>
          <w:rFonts w:ascii="Times New Roman" w:cs="Times New Roman" w:eastAsia="Times New Roman" w:hAnsi="Times New Roman"/>
          <w:sz w:val="24"/>
          <w:szCs w:val="24"/>
        </w:rPr>
        <w:t xml:space="preserve">This is arguably the most intellectually important question in the entire project. In 2026, AI code generation tools can produce a functional React dashboard in minutes. A basic battery SoC gauge and a solar output chart could be generated from a single prompt. So why did this project require sixteen weeks of intensive work? The answer reveals the deep distinction between a demonstration artifact and a validated engineering system.</w:t>
      </w:r>
    </w:p>
    <w:p>
      <w:pPr>
        <w:spacing w:after="160" w:before="0" w:line="360" w:lineRule="auto"/>
      </w:pPr>
    </w:p>
    <w:p>
      <w:pPr>
        <w:spacing w:after="160" w:before="360" w:line="360" w:lineRule="auto"/>
        <w:jc w:val="left"/>
      </w:pPr>
      <w:r>
        <w:rPr>
          <w:rFonts w:ascii="Times New Roman" w:cs="Times New Roman" w:eastAsia="Times New Roman" w:hAnsi="Times New Roman"/>
          <w:sz w:val="28"/>
          <w:szCs w:val="28"/>
        </w:rPr>
        <w:t xml:space="preserve">4.1   What AI Can Build in Hours</w:t>
      </w:r>
    </w:p>
    <w:p>
      <w:pPr>
        <w:spacing w:after="200" w:before="0" w:line="360" w:lineRule="auto"/>
        <w:jc w:val="both"/>
      </w:pPr>
      <w:r>
        <w:rPr>
          <w:rFonts w:ascii="Times New Roman" w:cs="Times New Roman" w:eastAsia="Times New Roman" w:hAnsi="Times New Roman"/>
          <w:sz w:val="24"/>
          <w:szCs w:val="24"/>
        </w:rPr>
        <w:t xml:space="preserve">AI tools can rapidly generate the presentation layer: the glassmorphic CSS styling, the Recharts visualization components, the component architecture, and even the simulated data ticker. A skilled prompt engineer could produce a convincing-looking Smart Microgrid Dashboard within two to four hours using modern AI code assistants. The output would be visually impressive, functionally interactive, and superficially similar to what this project produced.</w:t>
      </w:r>
    </w:p>
    <w:p>
      <w:pPr>
        <w:spacing w:after="200" w:before="0" w:line="360" w:lineRule="auto"/>
        <w:jc w:val="both"/>
      </w:pPr>
      <w:r>
        <w:rPr>
          <w:rFonts w:ascii="Times New Roman" w:cs="Times New Roman" w:eastAsia="Times New Roman" w:hAnsi="Times New Roman"/>
          <w:sz w:val="24"/>
          <w:szCs w:val="24"/>
        </w:rPr>
        <w:t xml:space="preserve">However, that rapidly-generated dashboard would have several critical deficiencies: it would have no real intelligence behind it (using hardcoded sine waves or random numbers instead of trained AI models), no validated physics model (battery dynamics would be fictional), no real data foundation (no 52,608 hours of actual NASA meteorological observations), no convergence proof (no reward curve demonstrating the agent actually learned anything), no economic validation (no comparison against a real baseline with actual cost figures), and no robustness testing (no stress scenarios). It would be, in engineering terms, a prototype mockup rather than a system.</w:t>
      </w:r>
    </w:p>
    <w:p>
      <w:pPr>
        <w:spacing w:after="160" w:before="0" w:line="360" w:lineRule="auto"/>
      </w:pPr>
    </w:p>
    <w:p>
      <w:pPr>
        <w:spacing w:after="160" w:before="360" w:line="360" w:lineRule="auto"/>
        <w:jc w:val="left"/>
      </w:pPr>
      <w:r>
        <w:rPr>
          <w:rFonts w:ascii="Times New Roman" w:cs="Times New Roman" w:eastAsia="Times New Roman" w:hAnsi="Times New Roman"/>
          <w:sz w:val="28"/>
          <w:szCs w:val="28"/>
        </w:rPr>
        <w:t xml:space="preserve">4.2   What Required Sixteen Weeks of Real Work</w:t>
      </w:r>
    </w:p>
    <w:p>
      <w:pPr>
        <w:spacing w:after="80" w:before="0" w:line="360" w:lineRule="auto"/>
      </w:pPr>
    </w:p>
    <w:p>
      <w:pPr>
        <w:spacing w:after="100" w:before="200" w:line="360" w:lineRule="auto"/>
        <w:jc w:val="left"/>
      </w:pPr>
      <w:r>
        <w:rPr>
          <w:rFonts w:ascii="Times New Roman" w:cs="Times New Roman" w:eastAsia="Times New Roman" w:hAnsi="Times New Roman"/>
          <w:b/>
          <w:bCs/>
          <w:sz w:val="24"/>
          <w:szCs w:val="24"/>
        </w:rPr>
        <w:t xml:space="preserve">Weeks 1-2: Literature Research and Problem Formulation</w:t>
      </w:r>
    </w:p>
    <w:p>
      <w:pPr>
        <w:spacing w:after="200" w:before="0" w:line="360" w:lineRule="auto"/>
        <w:jc w:val="both"/>
      </w:pPr>
      <w:r>
        <w:rPr>
          <w:rFonts w:ascii="Times New Roman" w:cs="Times New Roman" w:eastAsia="Times New Roman" w:hAnsi="Times New Roman"/>
          <w:sz w:val="24"/>
          <w:szCs w:val="24"/>
        </w:rPr>
        <w:t xml:space="preserve">Before writing a single line of code, eight research papers were read in depth to understand what had already been tried, what worked, what failed, and where the research gaps existed. This phase produced the MDP formulation, the reward function design, the decision to use PPO over DQN, and the architectural separation of the predictive (LSTM) and prescriptive (PPO) layers. This intellectual work cannot be skipped — an AI that generates code without this foundation will produce a system that superficially resembles the literature but fails on the research gaps that the literature identifies.</w:t>
      </w:r>
    </w:p>
    <w:p>
      <w:pPr>
        <w:spacing w:after="100" w:before="200" w:line="360" w:lineRule="auto"/>
        <w:jc w:val="left"/>
      </w:pPr>
      <w:r>
        <w:rPr>
          <w:rFonts w:ascii="Times New Roman" w:cs="Times New Roman" w:eastAsia="Times New Roman" w:hAnsi="Times New Roman"/>
          <w:b/>
          <w:bCs/>
          <w:sz w:val="24"/>
          <w:szCs w:val="24"/>
        </w:rPr>
        <w:t xml:space="preserve">Weeks 3-5: Data Engineering (The Hidden Complexity)</w:t>
      </w:r>
    </w:p>
    <w:p>
      <w:pPr>
        <w:spacing w:after="200" w:before="0" w:line="360" w:lineRule="auto"/>
        <w:jc w:val="both"/>
      </w:pPr>
      <w:r>
        <w:rPr>
          <w:rFonts w:ascii="Times New Roman" w:cs="Times New Roman" w:eastAsia="Times New Roman" w:hAnsi="Times New Roman"/>
          <w:sz w:val="24"/>
          <w:szCs w:val="24"/>
        </w:rPr>
        <w:t xml:space="preserve">Obtaining the NASA POWER dataset required understanding the API's geographic coordinate system, authentication, rate limiting, and data format. Processing 52,608 rows required identifying and handling NaN values, physically impossible measurements, and timezone alignment issues. Feature engineering required understanding the underlying physics well enough to know that sine-cosine encoding of time is necessary, that a 3-hour rolling window captures cloud-cover momentum but a 24-hour window captures daily baseline — decisions that require domain knowledge no AI prompt can substitute for. The EDA analysis required statistical expertise to correctly identify and quantify the 2.5-hour lagging correlation between temperature and HVAC load.</w:t>
      </w:r>
    </w:p>
    <w:p>
      <w:pPr>
        <w:spacing w:after="100" w:before="200" w:line="360" w:lineRule="auto"/>
        <w:jc w:val="left"/>
      </w:pPr>
      <w:r>
        <w:rPr>
          <w:rFonts w:ascii="Times New Roman" w:cs="Times New Roman" w:eastAsia="Times New Roman" w:hAnsi="Times New Roman"/>
          <w:b/>
          <w:bCs/>
          <w:sz w:val="24"/>
          <w:szCs w:val="24"/>
        </w:rPr>
        <w:t xml:space="preserve">Weeks 6-9: The AI Training Challenge</w:t>
      </w:r>
    </w:p>
    <w:p>
      <w:pPr>
        <w:spacing w:after="200" w:before="0" w:line="360" w:lineRule="auto"/>
        <w:jc w:val="both"/>
      </w:pPr>
      <w:r>
        <w:rPr>
          <w:rFonts w:ascii="Times New Roman" w:cs="Times New Roman" w:eastAsia="Times New Roman" w:hAnsi="Times New Roman"/>
          <w:sz w:val="24"/>
          <w:szCs w:val="24"/>
        </w:rPr>
        <w:t xml:space="preserve">Training a PPO agent to actually learn a useful policy — rather than collapsing to a degenerate solution — required multiple debugging cycles. Early training runs produced agents that always idled (discovering that idle produces zero grid import penalty without risking constraint violations). This degenerate solution required reformulating the reward to penalize idle behavior during peak hours. Later training runs produced agents that learned to charge maximally during off-peak but forgot to discharge during peak, due to horizon truncation effects. Each of these failure modes required diagnosing what the agent was actually learning, formulating a hypothesis about why, and testing a fix — a process that genuinely cannot be automated away.</w:t>
      </w:r>
    </w:p>
    <w:p>
      <w:pPr>
        <w:spacing w:after="100" w:before="200" w:line="360" w:lineRule="auto"/>
        <w:jc w:val="left"/>
      </w:pPr>
      <w:r>
        <w:rPr>
          <w:rFonts w:ascii="Times New Roman" w:cs="Times New Roman" w:eastAsia="Times New Roman" w:hAnsi="Times New Roman"/>
          <w:b/>
          <w:bCs/>
          <w:sz w:val="24"/>
          <w:szCs w:val="24"/>
        </w:rPr>
        <w:t xml:space="preserve">Weeks 10-12: Integration Engineering</w:t>
      </w:r>
    </w:p>
    <w:p>
      <w:pPr>
        <w:spacing w:after="200" w:before="0" w:line="360" w:lineRule="auto"/>
        <w:jc w:val="both"/>
      </w:pPr>
      <w:r>
        <w:rPr>
          <w:rFonts w:ascii="Times New Roman" w:cs="Times New Roman" w:eastAsia="Times New Roman" w:hAnsi="Times New Roman"/>
          <w:sz w:val="24"/>
          <w:szCs w:val="24"/>
        </w:rPr>
        <w:t xml:space="preserve">Connecting the Python AI backend to the JavaScript React frontend required designing a JSON schema, implementing FastAPI endpoints, handling CORS (Cross-Origin Resource Sharing) headers, managing asynchronous state updates in React, and implementing the fallback simulator to maintain dashboard operability during backend disconnection. Each of these steps involves real engineering decisions with non-obvious failure modes that can only be discovered through implementation and testing.</w:t>
      </w:r>
    </w:p>
    <w:p>
      <w:pPr>
        <w:spacing w:after="100" w:before="200" w:line="360" w:lineRule="auto"/>
        <w:jc w:val="left"/>
      </w:pPr>
      <w:r>
        <w:rPr>
          <w:rFonts w:ascii="Times New Roman" w:cs="Times New Roman" w:eastAsia="Times New Roman" w:hAnsi="Times New Roman"/>
          <w:b/>
          <w:bCs/>
          <w:sz w:val="24"/>
          <w:szCs w:val="24"/>
        </w:rPr>
        <w:t xml:space="preserve">Weeks 13-16: Validation — The Part AI Cannot Do</w:t>
      </w:r>
    </w:p>
    <w:p>
      <w:pPr>
        <w:spacing w:after="200" w:before="0" w:line="360" w:lineRule="auto"/>
        <w:jc w:val="both"/>
      </w:pPr>
      <w:r>
        <w:rPr>
          <w:rFonts w:ascii="Times New Roman" w:cs="Times New Roman" w:eastAsia="Times New Roman" w:hAnsi="Times New Roman"/>
          <w:sz w:val="24"/>
          <w:szCs w:val="24"/>
        </w:rPr>
        <w:t xml:space="preserve">Validating that the system actually works requires defining what 'works' means quantitatively (the 12.23% cost reduction threshold), running systematic experiments to measure it, stress-testing under adversarial conditions (the +24% surge, Island Mode), and interpreting the results against the research questions formulated in Week 1. This validation phase is what distinguishes engineering research from software development — it produces the evidence that the system's claimed performance is real rather than incidental.</w:t>
      </w:r>
    </w:p>
    <w:p>
      <w:pPr>
        <w:spacing w:after="0" w:before="0" w:line="360" w:lineRule="auto"/>
      </w:pPr>
      <w:r>
        <w:br w:type="page"/>
      </w:r>
    </w:p>
    <w:p>
      <w:pPr>
        <w:spacing w:after="320" w:before="480" w:line="360" w:lineRule="auto"/>
        <w:jc w:val="center"/>
      </w:pPr>
      <w:r>
        <w:rPr>
          <w:rFonts w:ascii="Times New Roman" w:cs="Times New Roman" w:eastAsia="Times New Roman" w:hAnsi="Times New Roman"/>
          <w:b/>
          <w:bCs/>
          <w:sz w:val="32"/>
          <w:szCs w:val="32"/>
        </w:rPr>
        <w:t xml:space="preserve">SECTION 5: TRAINING MODELS, PREDICTION OUTPUTS, DATA SOURCES AND STORAGE</w:t>
      </w:r>
    </w:p>
    <w:p>
      <w:pPr>
        <w:spacing w:after="160" w:before="360" w:line="360" w:lineRule="auto"/>
        <w:jc w:val="left"/>
      </w:pPr>
      <w:r>
        <w:rPr>
          <w:rFonts w:ascii="Times New Roman" w:cs="Times New Roman" w:eastAsia="Times New Roman" w:hAnsi="Times New Roman"/>
          <w:sz w:val="28"/>
          <w:szCs w:val="28"/>
        </w:rPr>
        <w:t xml:space="preserve">5.1   Where the Training Data Comes From</w:t>
      </w:r>
    </w:p>
    <w:p>
      <w:pPr>
        <w:spacing w:after="200" w:before="0" w:line="360" w:lineRule="auto"/>
        <w:jc w:val="both"/>
      </w:pPr>
      <w:r>
        <w:rPr>
          <w:rFonts w:ascii="Times New Roman" w:cs="Times New Roman" w:eastAsia="Times New Roman" w:hAnsi="Times New Roman"/>
          <w:sz w:val="24"/>
          <w:szCs w:val="24"/>
        </w:rPr>
        <w:t xml:space="preserve">All training data originates from a single source: the NASA POWER (Prediction Of Worldwide Energy Resources) API, operated by NASA's Langley Research Center. NASA POWER provides free access to hourly satellite-derived and model-reanalysis meteorological data for any geographic coordinate on Earth, spanning from 1981 to the near-present. The dataset used in this project covered January 2019 to December 2023 — five complete calendar years — at the GPS coordinates of a representative mid-latitude South Asian industrial facility.</w:t>
      </w:r>
    </w:p>
    <w:p>
      <w:pPr>
        <w:spacing w:after="200" w:before="0" w:line="360" w:lineRule="auto"/>
        <w:jc w:val="both"/>
      </w:pPr>
      <w:r>
        <w:rPr>
          <w:rFonts w:ascii="Times New Roman" w:cs="Times New Roman" w:eastAsia="Times New Roman" w:hAnsi="Times New Roman"/>
          <w:sz w:val="24"/>
          <w:szCs w:val="24"/>
        </w:rPr>
        <w:t xml:space="preserve">The following variables were extracted from the NASA POWER API for each of the 52,608 hours in the dataset: Global Horizontal Irradiance (ALLSKY_SFC_SW_DWN, W/m2), Direct Normal Irradiance (ALLSKY_SFC_SW_DNI, W/m2), Ambient Temperature at 2m (T2M, Celsius), Relative Humidity at 2m (RH2M, %), and Wind Speed at 10m (WS10M, m/s). Facility electrical load demand was derived from these meteorological variables through a calibrated physical model trained on the observed correlations in the dataset, since measured facility consumption data was not available for this simulation study.</w:t>
      </w:r>
    </w:p>
    <w:p>
      <w:pPr>
        <w:spacing w:after="160" w:before="0" w:line="360" w:lineRule="auto"/>
      </w:pPr>
    </w:p>
    <w:p>
      <w:pPr>
        <w:spacing w:after="160" w:before="360" w:line="360" w:lineRule="auto"/>
        <w:jc w:val="left"/>
      </w:pPr>
      <w:r>
        <w:rPr>
          <w:rFonts w:ascii="Times New Roman" w:cs="Times New Roman" w:eastAsia="Times New Roman" w:hAnsi="Times New Roman"/>
          <w:sz w:val="28"/>
          <w:szCs w:val="28"/>
        </w:rPr>
        <w:t xml:space="preserve">5.2   How the LSTM Models Were Trained and What They Output</w:t>
      </w:r>
    </w:p>
    <w:p>
      <w:pPr>
        <w:spacing w:after="200" w:before="0" w:line="360" w:lineRule="auto"/>
        <w:jc w:val="both"/>
      </w:pPr>
      <w:r>
        <w:rPr>
          <w:rFonts w:ascii="Times New Roman" w:cs="Times New Roman" w:eastAsia="Times New Roman" w:hAnsi="Times New Roman"/>
          <w:sz w:val="24"/>
          <w:szCs w:val="24"/>
        </w:rPr>
        <w:t xml:space="preserve">The two LSTM models (solar forecaster and load forecaster) were trained using a supervised learning approach. For each hour t in the training dataset, a 48-hour input sequence (hours t-48 to t-1) was assembled from the ten normalized features described in Section 2.7. The target output was the actual solar generation (or load demand) at hour t, derived from the GHI measurement (or load model output). The training dataset consisted of 80% of the 52,608-hour dataset (approximately 42,000 samples), with 10% used for validation during training and 10% held out for final testing.</w:t>
      </w:r>
    </w:p>
    <w:p>
      <w:pPr>
        <w:spacing w:after="200" w:before="0" w:line="360" w:lineRule="auto"/>
        <w:jc w:val="both"/>
      </w:pPr>
      <w:r>
        <w:rPr>
          <w:rFonts w:ascii="Times New Roman" w:cs="Times New Roman" w:eastAsia="Times New Roman" w:hAnsi="Times New Roman"/>
          <w:sz w:val="24"/>
          <w:szCs w:val="24"/>
        </w:rPr>
        <w:t xml:space="preserve">Each model was trained for approximately 50 epochs using the AdamW optimizer with a learning rate of 0.001 and a cosine annealing learning rate schedule that reduces the learning rate gradually toward the end of training to fine-tune the weights. The Mean Squared Error (MSELoss) was used as the training objective. Model weights were saved at the epoch achieving the lowest validation loss, using early stopping with a patience of 10 epochs to prevent overfitting. The final saved weights represent the models' best generalization performance on unseen data.</w:t>
      </w:r>
    </w:p>
    <w:p>
      <w:pPr>
        <w:spacing w:after="200" w:before="0" w:line="360" w:lineRule="auto"/>
        <w:jc w:val="both"/>
      </w:pPr>
      <w:r>
        <w:rPr>
          <w:rFonts w:ascii="Times New Roman" w:cs="Times New Roman" w:eastAsia="Times New Roman" w:hAnsi="Times New Roman"/>
          <w:sz w:val="24"/>
          <w:szCs w:val="24"/>
        </w:rPr>
        <w:t xml:space="preserve">The LSTM models output a single scalar value per call: the predicted power generation (kW) or load demand (kW) for the next hour. At inference time, the FastAPI backend assembles the current 48-hour feature sequence, passes it through the LSTM forward pass, and returns the prediction. For the 24-hour forecast displayed on the dashboard, this inference is called 24 times iteratively — using each prediction as part of the input sequence for the next step — to build the complete forecast horizon.</w:t>
      </w:r>
    </w:p>
    <w:p>
      <w:pPr>
        <w:spacing w:after="160" w:before="0" w:line="360" w:lineRule="auto"/>
      </w:pPr>
    </w:p>
    <w:p>
      <w:pPr>
        <w:spacing w:after="160" w:before="360" w:line="360" w:lineRule="auto"/>
        <w:jc w:val="left"/>
      </w:pPr>
      <w:r>
        <w:rPr>
          <w:rFonts w:ascii="Times New Roman" w:cs="Times New Roman" w:eastAsia="Times New Roman" w:hAnsi="Times New Roman"/>
          <w:sz w:val="28"/>
          <w:szCs w:val="28"/>
        </w:rPr>
        <w:t xml:space="preserve">5.3   How the PPO Agent Was Trained and What It Outputs</w:t>
      </w:r>
    </w:p>
    <w:p>
      <w:pPr>
        <w:spacing w:after="200" w:before="0" w:line="360" w:lineRule="auto"/>
        <w:jc w:val="both"/>
      </w:pPr>
      <w:r>
        <w:rPr>
          <w:rFonts w:ascii="Times New Roman" w:cs="Times New Roman" w:eastAsia="Times New Roman" w:hAnsi="Times New Roman"/>
          <w:sz w:val="24"/>
          <w:szCs w:val="24"/>
        </w:rPr>
        <w:t xml:space="preserve">The PPO agent was trained through 20,000 interactions (timesteps) with the MicrogridPPOEnv Gym environment. At each timestep, the environment provided the current five-dimensional state vector; the agent's policy network (a two-layer MLP with 64 units per layer and tanh activations) computed a Gaussian probability distribution over possible actions; a sample was drawn from this distribution to produce the actual dispatch command; the environment applied the action, updated the battery SoC, computed the grid import and tariff cost, and returned the next state and the scalar reward. This experience (state, action, reward, next_state) was stored in a rollout buffer, and periodically the PPO algorithm used the accumulated buffer to compute gradient updates to both the policy network and the value network.</w:t>
      </w:r>
    </w:p>
    <w:p>
      <w:pPr>
        <w:spacing w:after="200" w:before="0" w:line="360" w:lineRule="auto"/>
        <w:jc w:val="both"/>
      </w:pPr>
      <w:r>
        <w:rPr>
          <w:rFonts w:ascii="Times New Roman" w:cs="Times New Roman" w:eastAsia="Times New Roman" w:hAnsi="Times New Roman"/>
          <w:sz w:val="24"/>
          <w:szCs w:val="24"/>
        </w:rPr>
        <w:t xml:space="preserve">The PPO agent outputs a single continuous scalar action in the range [-1.0, +1.0] at each timestep. This scalar is linearly mapped to a physical power command: -1.0 maps to maximum charge (55 kW into the battery), +1.0 maps to maximum discharge (58 kW from the battery), and 0.0 maps to idle. The mapping is: P_bat = action x 55 kW (if action &lt; 0) or P_bat = action x 58 kW (if action &gt; 0). Before the physical command is executed, the environment applies a hard clipping step to ensure the resulting SoC change would not violate the 20%-95% boundaries, regardless of the action value. This provides a second layer of constraint enforcement independent of the reward penalty mechanism.</w:t>
      </w:r>
    </w:p>
    <w:p>
      <w:pPr>
        <w:spacing w:after="160" w:before="0" w:line="360" w:lineRule="auto"/>
      </w:pPr>
    </w:p>
    <w:p>
      <w:pPr>
        <w:spacing w:after="160" w:before="360" w:line="360" w:lineRule="auto"/>
        <w:jc w:val="left"/>
      </w:pPr>
      <w:r>
        <w:rPr>
          <w:rFonts w:ascii="Times New Roman" w:cs="Times New Roman" w:eastAsia="Times New Roman" w:hAnsi="Times New Roman"/>
          <w:sz w:val="28"/>
          <w:szCs w:val="28"/>
        </w:rPr>
        <w:t xml:space="preserve">5.4   Where Results Are Stored</w:t>
      </w:r>
    </w:p>
    <w:p>
      <w:pPr>
        <w:spacing w:after="200" w:before="0" w:line="360" w:lineRule="auto"/>
        <w:jc w:val="both"/>
      </w:pPr>
      <w:r>
        <w:rPr>
          <w:rFonts w:ascii="Times New Roman" w:cs="Times New Roman" w:eastAsia="Times New Roman" w:hAnsi="Times New Roman"/>
          <w:sz w:val="24"/>
          <w:szCs w:val="24"/>
        </w:rPr>
        <w:t xml:space="preserve">Training results are stored in five locations. The trained LSTM model weights are serialized as PyTorch .pt binary files (solar_kw_lstm.pt and load_kw_lstm.pt) in the models/ directory. The trained PPO policy is serialized by Stable Baselines3 as a compressed .zip file (microgrid_ppo_policy.zip) containing the policy network weights, the value network weights, and the training hyperparameter configuration. The MinMaxScaler normalization parameters are serialized as Python pickle files (scaler_solar.pkl and scaler_load.pkl) to ensure identical normalization is applied during inference as during training. Validation results — including the CSV log of all state, action, reward, and SoC values across the full 168-hour evaluation window — are saved to outputs/validation_log.csv. All generated matplotlib plots (ppo_reward_curve.png, solar_kw_prediction_vs_actual.png, etc.) are saved to outputs/plots/.</w:t>
      </w:r>
    </w:p>
    <w:p>
      <w:pPr>
        <w:spacing w:after="0" w:before="0" w:line="360" w:lineRule="auto"/>
      </w:pPr>
      <w:r>
        <w:br w:type="page"/>
      </w:r>
    </w:p>
    <w:p>
      <w:pPr>
        <w:spacing w:after="320" w:before="480" w:line="360" w:lineRule="auto"/>
        <w:jc w:val="center"/>
      </w:pPr>
      <w:r>
        <w:rPr>
          <w:rFonts w:ascii="Times New Roman" w:cs="Times New Roman" w:eastAsia="Times New Roman" w:hAnsi="Times New Roman"/>
          <w:b/>
          <w:bCs/>
          <w:sz w:val="32"/>
          <w:szCs w:val="32"/>
        </w:rPr>
        <w:t xml:space="preserve">SECTION 6: CHALLENGES CONSIDERED AND ADDRESSED IN THIS PROJECT</w:t>
      </w:r>
    </w:p>
    <w:p>
      <w:pPr>
        <w:spacing w:after="160" w:before="360" w:line="360" w:lineRule="auto"/>
        <w:jc w:val="left"/>
      </w:pPr>
      <w:r>
        <w:rPr>
          <w:rFonts w:ascii="Times New Roman" w:cs="Times New Roman" w:eastAsia="Times New Roman" w:hAnsi="Times New Roman"/>
          <w:sz w:val="28"/>
          <w:szCs w:val="28"/>
        </w:rPr>
        <w:t xml:space="preserve">6.1   The Operator Trust Problem (AI Black Box)</w:t>
      </w:r>
    </w:p>
    <w:p>
      <w:pPr>
        <w:spacing w:after="200" w:before="0" w:line="360" w:lineRule="auto"/>
        <w:jc w:val="both"/>
      </w:pPr>
      <w:r>
        <w:rPr>
          <w:rFonts w:ascii="Times New Roman" w:cs="Times New Roman" w:eastAsia="Times New Roman" w:hAnsi="Times New Roman"/>
          <w:sz w:val="24"/>
          <w:szCs w:val="24"/>
        </w:rPr>
        <w:t xml:space="preserve">The single largest non-technical challenge in deploying AI for critical infrastructure is operator trust. Power grid operators are professionals with decades of experience who are legally and professionally accountable for the safe operation of their facility. Handing control to a neural network whose internal logic is mathematically incomprehensible to any human — including its creators — is not simply a technical concern but a professional and regulatory one. If an AI-controlled battery discharges to zero during a grid fault, the operator needs to explain to their management why the system failed. 'The neural network made a suboptimal decision' is not an acceptable engineering explanation.</w:t>
      </w:r>
    </w:p>
    <w:p>
      <w:pPr>
        <w:spacing w:after="200" w:before="0" w:line="360" w:lineRule="auto"/>
        <w:jc w:val="both"/>
      </w:pPr>
      <w:r>
        <w:rPr>
          <w:rFonts w:ascii="Times New Roman" w:cs="Times New Roman" w:eastAsia="Times New Roman" w:hAnsi="Times New Roman"/>
          <w:sz w:val="24"/>
          <w:szCs w:val="24"/>
        </w:rPr>
        <w:t xml:space="preserve">This project addressed the trust problem through three complementary mechanisms: the Explainable AI banner that translates every AI decision into human-readable reasoning; the real-time SoC and power flow telemetry that allows operators to continuously verify the AI's behavior matches its stated reasoning; and the physical SCADA override panel that allows operators to countermand the AI instantly and safely without disrupting the rest of the system. Together, these mechanisms implement a human-in-the-loop control architecture where the AI operates autonomously only so long as the operator is satisfied with its behavior.</w:t>
      </w:r>
    </w:p>
    <w:p>
      <w:pPr>
        <w:spacing w:after="160" w:before="0" w:line="360" w:lineRule="auto"/>
      </w:pPr>
    </w:p>
    <w:p>
      <w:pPr>
        <w:spacing w:after="160" w:before="360" w:line="360" w:lineRule="auto"/>
        <w:jc w:val="left"/>
      </w:pPr>
      <w:r>
        <w:rPr>
          <w:rFonts w:ascii="Times New Roman" w:cs="Times New Roman" w:eastAsia="Times New Roman" w:hAnsi="Times New Roman"/>
          <w:sz w:val="28"/>
          <w:szCs w:val="28"/>
        </w:rPr>
        <w:t xml:space="preserve">6.2   Constraint Enforcement in Learned Policies</w:t>
      </w:r>
    </w:p>
    <w:p>
      <w:pPr>
        <w:spacing w:after="200" w:before="0" w:line="360" w:lineRule="auto"/>
        <w:jc w:val="both"/>
      </w:pPr>
      <w:r>
        <w:rPr>
          <w:rFonts w:ascii="Times New Roman" w:cs="Times New Roman" w:eastAsia="Times New Roman" w:hAnsi="Times New Roman"/>
          <w:sz w:val="24"/>
          <w:szCs w:val="24"/>
        </w:rPr>
        <w:t xml:space="preserve">A fundamental challenge in applying DRL to physical systems is ensuring that the learned policy respects hard physical constraints — in this case, the 20%-95% SoC boundaries. A naive RL training setup might produce an agent that frequently violates these constraints in pursuit of higher economic rewards, since the reward function is a continuous signal that can be traded off against the discrete constraint violation. The challenge is designing the constraint enforcement mechanism so that violations are truly impossible rather than merely expensive.</w:t>
      </w:r>
    </w:p>
    <w:p>
      <w:pPr>
        <w:spacing w:after="200" w:before="0" w:line="360" w:lineRule="auto"/>
        <w:jc w:val="both"/>
      </w:pPr>
      <w:r>
        <w:rPr>
          <w:rFonts w:ascii="Times New Roman" w:cs="Times New Roman" w:eastAsia="Times New Roman" w:hAnsi="Times New Roman"/>
          <w:sz w:val="24"/>
          <w:szCs w:val="24"/>
        </w:rPr>
        <w:t xml:space="preserve">This project addressed the challenge through a two-layer enforcement architecture. The first layer is the reward penalty: a -10,000 scalar applied whenever the agent's selected action would result in a constraint violation, calibrated to be approximately 6x larger than the maximum single-timestep reward magnitude. This makes constraint violations catastrophically expensive in the agent's objective function during training, causing it to learn to avoid them proactively. The second layer is a hard clipping step in the environment's step() function that physically prevents any action from executing if it would drive SoC outside the [20%, 95%] range, providing an absolute safety guarantee that the reward penalty alone cannot provide.</w:t>
      </w:r>
    </w:p>
    <w:p>
      <w:pPr>
        <w:spacing w:after="160" w:before="0" w:line="360" w:lineRule="auto"/>
      </w:pPr>
    </w:p>
    <w:p>
      <w:pPr>
        <w:spacing w:after="160" w:before="360" w:line="360" w:lineRule="auto"/>
        <w:jc w:val="left"/>
      </w:pPr>
      <w:r>
        <w:rPr>
          <w:rFonts w:ascii="Times New Roman" w:cs="Times New Roman" w:eastAsia="Times New Roman" w:hAnsi="Times New Roman"/>
          <w:sz w:val="28"/>
          <w:szCs w:val="28"/>
        </w:rPr>
        <w:t xml:space="preserve">6.3   Training Stability and Reward Shaping</w:t>
      </w:r>
    </w:p>
    <w:p>
      <w:pPr>
        <w:spacing w:after="200" w:before="0" w:line="360" w:lineRule="auto"/>
        <w:jc w:val="both"/>
      </w:pPr>
      <w:r>
        <w:rPr>
          <w:rFonts w:ascii="Times New Roman" w:cs="Times New Roman" w:eastAsia="Times New Roman" w:hAnsi="Times New Roman"/>
          <w:sz w:val="24"/>
          <w:szCs w:val="24"/>
        </w:rPr>
        <w:t xml:space="preserve">DRL training is notoriously unstable: small changes to the reward function, learning rate, or environment design can cause the agent to converge to completely different (and often suboptimal) policies. Early training experiments in this project produced agents that always idled (avoiding both charging costs and discharge risks), always charged maximally regardless of tariff (ignoring price signals), or oscillated between extreme charge and discharge every timestep (exploiting ambiguities in the reward calculation). Each degenerate behavior required careful diagnosis — analyzing the reward curve, examining the action distribution histograms, and reading the agent's QXI strings during evaluation runs — before an appropriate intervention could be designed.</w:t>
      </w:r>
    </w:p>
    <w:p>
      <w:pPr>
        <w:spacing w:after="200" w:before="0" w:line="360" w:lineRule="auto"/>
        <w:jc w:val="both"/>
      </w:pPr>
      <w:r>
        <w:rPr>
          <w:rFonts w:ascii="Times New Roman" w:cs="Times New Roman" w:eastAsia="Times New Roman" w:hAnsi="Times New Roman"/>
          <w:sz w:val="24"/>
          <w:szCs w:val="24"/>
        </w:rPr>
        <w:t xml:space="preserve">The final reward function design emerged from this iterative debugging process: the primary reward term penalizes grid import cost, the constraint penalty prevents hardware violations, and the entropy coefficient (0.01) maintains sufficient exploration randomness during training to prevent premature convergence to locally optimal but globally suboptimal policies. The GAE lambda (0.95) and discount factor (0.99) were tuned to ensure the agent's advantage estimates correctly attributed the economic benefit of overnight pre-charging to the dispatch decisions made during the off-peak window — a credit assignment challenge caused by the multi-hour delay between the charging action and its economic payoff at peak time.</w:t>
      </w:r>
    </w:p>
    <w:p>
      <w:pPr>
        <w:spacing w:after="160" w:before="0" w:line="360" w:lineRule="auto"/>
      </w:pPr>
    </w:p>
    <w:p>
      <w:pPr>
        <w:spacing w:after="160" w:before="360" w:line="360" w:lineRule="auto"/>
        <w:jc w:val="left"/>
      </w:pPr>
      <w:r>
        <w:rPr>
          <w:rFonts w:ascii="Times New Roman" w:cs="Times New Roman" w:eastAsia="Times New Roman" w:hAnsi="Times New Roman"/>
          <w:sz w:val="28"/>
          <w:szCs w:val="28"/>
        </w:rPr>
        <w:t xml:space="preserve">6.4   Real-Time Performance of the Dashboard</w:t>
      </w:r>
    </w:p>
    <w:p>
      <w:pPr>
        <w:spacing w:after="200" w:before="0" w:line="360" w:lineRule="auto"/>
        <w:jc w:val="both"/>
      </w:pPr>
      <w:r>
        <w:rPr>
          <w:rFonts w:ascii="Times New Roman" w:cs="Times New Roman" w:eastAsia="Times New Roman" w:hAnsi="Times New Roman"/>
          <w:sz w:val="24"/>
          <w:szCs w:val="24"/>
        </w:rPr>
        <w:t xml:space="preserve">Achieving a stable 1.5-second telemetry refresh rate without browser memory leaks or frame drops required careful management of React's component lifecycle and the JavaScript event loop. The primary challenge is that each 1.5-second tick triggers a FastAPI API call (network I/O), a JSON parse operation, and a re-render of all dashboard components simultaneously. If any of these operations takes longer than 1.5 seconds, ticks begin to queue up, causing memory accumulation that eventually causes browser tab crashes.</w:t>
      </w:r>
    </w:p>
    <w:p>
      <w:pPr>
        <w:spacing w:after="200" w:before="0" w:line="360" w:lineRule="auto"/>
        <w:jc w:val="both"/>
      </w:pPr>
      <w:r>
        <w:rPr>
          <w:rFonts w:ascii="Times New Roman" w:cs="Times New Roman" w:eastAsia="Times New Roman" w:hAnsi="Times New Roman"/>
          <w:sz w:val="24"/>
          <w:szCs w:val="24"/>
        </w:rPr>
        <w:t xml:space="preserve">The solution involved three engineering choices: using React's useCallback hook to memoize event handlers (preventing unnecessary re-instantiation of functions on every render), using the AbortController API to cancel in-flight API requests if a new tick fires before the previous request completes, and implementing the JavaScript fallback simulator to maintain display continuity during API latency spikes. These choices collectively ensure the dashboard remains responsive and memory-stable across extended operational periods.</w:t>
      </w:r>
    </w:p>
    <w:p>
      <w:pPr>
        <w:spacing w:after="0" w:before="0" w:line="360" w:lineRule="auto"/>
      </w:pPr>
      <w:r>
        <w:br w:type="page"/>
      </w:r>
    </w:p>
    <w:p>
      <w:pPr>
        <w:spacing w:after="320" w:before="480" w:line="360" w:lineRule="auto"/>
        <w:jc w:val="center"/>
      </w:pPr>
      <w:r>
        <w:rPr>
          <w:rFonts w:ascii="Times New Roman" w:cs="Times New Roman" w:eastAsia="Times New Roman" w:hAnsi="Times New Roman"/>
          <w:b/>
          <w:bCs/>
          <w:sz w:val="32"/>
          <w:szCs w:val="32"/>
        </w:rPr>
        <w:t xml:space="preserve">SECTION 7: REAL WORLD APPLICATIONS, BENEFICIARIES AND FUTURE IMPROVEMENTS</w:t>
      </w:r>
    </w:p>
    <w:p>
      <w:pPr>
        <w:spacing w:after="160" w:before="360" w:line="360" w:lineRule="auto"/>
        <w:jc w:val="left"/>
      </w:pPr>
      <w:r>
        <w:rPr>
          <w:rFonts w:ascii="Times New Roman" w:cs="Times New Roman" w:eastAsia="Times New Roman" w:hAnsi="Times New Roman"/>
          <w:sz w:val="28"/>
          <w:szCs w:val="28"/>
        </w:rPr>
        <w:t xml:space="preserve">7.1   Who This System Is Useful For</w:t>
      </w:r>
    </w:p>
    <w:p>
      <w:pPr>
        <w:spacing w:after="80" w:before="0" w:line="360" w:lineRule="auto"/>
      </w:pPr>
    </w:p>
    <w:p>
      <w:pPr>
        <w:spacing w:after="100" w:before="200" w:line="360" w:lineRule="auto"/>
        <w:jc w:val="left"/>
      </w:pPr>
      <w:r>
        <w:rPr>
          <w:rFonts w:ascii="Times New Roman" w:cs="Times New Roman" w:eastAsia="Times New Roman" w:hAnsi="Times New Roman"/>
          <w:b/>
          <w:bCs/>
          <w:sz w:val="24"/>
          <w:szCs w:val="24"/>
        </w:rPr>
        <w:t xml:space="preserve">Industrial and Commercial Facility Managers</w:t>
      </w:r>
    </w:p>
    <w:p>
      <w:pPr>
        <w:spacing w:after="200" w:before="0" w:line="360" w:lineRule="auto"/>
        <w:jc w:val="both"/>
      </w:pPr>
      <w:r>
        <w:rPr>
          <w:rFonts w:ascii="Times New Roman" w:cs="Times New Roman" w:eastAsia="Times New Roman" w:hAnsi="Times New Roman"/>
          <w:sz w:val="24"/>
          <w:szCs w:val="24"/>
        </w:rPr>
        <w:t xml:space="preserve">Any large facility with significant electricity consumption and a battery storage system can benefit from this technology. Manufacturing plants, cold storage warehouses, data centres, shopping malls, and hotel chains all operate under commercial ToU tariffs and face the same energy arbitrage opportunity that this project addresses. For a facility spending Rs50 lakhs per year on electricity, a 12.23% reduction translates to Rs6.1 lakhs in annual savings — a return period of approximately 2-3 years on the cost of implementing the AI EMS, making it a compelling commercial proposition.</w:t>
      </w:r>
    </w:p>
    <w:p>
      <w:pPr>
        <w:spacing w:after="100" w:before="200" w:line="360" w:lineRule="auto"/>
        <w:jc w:val="left"/>
      </w:pPr>
      <w:r>
        <w:rPr>
          <w:rFonts w:ascii="Times New Roman" w:cs="Times New Roman" w:eastAsia="Times New Roman" w:hAnsi="Times New Roman"/>
          <w:b/>
          <w:bCs/>
          <w:sz w:val="24"/>
          <w:szCs w:val="24"/>
        </w:rPr>
        <w:t xml:space="preserve">Hospital and Healthcare Campus Operators</w:t>
      </w:r>
    </w:p>
    <w:p>
      <w:pPr>
        <w:spacing w:after="200" w:before="0" w:line="360" w:lineRule="auto"/>
        <w:jc w:val="both"/>
      </w:pPr>
      <w:r>
        <w:rPr>
          <w:rFonts w:ascii="Times New Roman" w:cs="Times New Roman" w:eastAsia="Times New Roman" w:hAnsi="Times New Roman"/>
          <w:sz w:val="24"/>
          <w:szCs w:val="24"/>
        </w:rPr>
        <w:t xml:space="preserve">Hospitals have two specific needs that this system addresses: cost minimization (hospitals are large, 24-hour electricity consumers) and grid resilience (hospitals must maintain power during grid faults). The Island Mode capability demonstrated in this project allows a hospital microgrid to disconnect from the grid during a fault and continue operating on battery and solar power — directly addressing the life-critical continuity-of-power requirement. The SCADA-style override interface provides the human control that hospital engineers require before trusting any autonomous system with patient safety-relevant infrastructure.</w:t>
      </w:r>
    </w:p>
    <w:p>
      <w:pPr>
        <w:spacing w:after="100" w:before="200" w:line="360" w:lineRule="auto"/>
        <w:jc w:val="left"/>
      </w:pPr>
      <w:r>
        <w:rPr>
          <w:rFonts w:ascii="Times New Roman" w:cs="Times New Roman" w:eastAsia="Times New Roman" w:hAnsi="Times New Roman"/>
          <w:b/>
          <w:bCs/>
          <w:sz w:val="24"/>
          <w:szCs w:val="24"/>
        </w:rPr>
        <w:t xml:space="preserve">Smart City and Residential Housing Society Operators</w:t>
      </w:r>
    </w:p>
    <w:p>
      <w:pPr>
        <w:spacing w:after="200" w:before="0" w:line="360" w:lineRule="auto"/>
        <w:jc w:val="both"/>
      </w:pPr>
      <w:r>
        <w:rPr>
          <w:rFonts w:ascii="Times New Roman" w:cs="Times New Roman" w:eastAsia="Times New Roman" w:hAnsi="Times New Roman"/>
          <w:sz w:val="24"/>
          <w:szCs w:val="24"/>
        </w:rPr>
        <w:t xml:space="preserve">The architecture demonstrated in this project is directly extensible to residential apartment complexes and housing societies with shared solar installations and communal battery systems. In India, many large housing societies (500-2000 apartments) operate their own electrical substations and are moving toward solar-plus-storage installations. An EMS of this type would allow the society's maintenance team to monitor and optimize the shared energy system through a user-friendly dashboard without requiring electrical engineering expertise.</w:t>
      </w:r>
    </w:p>
    <w:p>
      <w:pPr>
        <w:spacing w:after="100" w:before="200" w:line="360" w:lineRule="auto"/>
        <w:jc w:val="left"/>
      </w:pPr>
      <w:r>
        <w:rPr>
          <w:rFonts w:ascii="Times New Roman" w:cs="Times New Roman" w:eastAsia="Times New Roman" w:hAnsi="Times New Roman"/>
          <w:b/>
          <w:bCs/>
          <w:sz w:val="24"/>
          <w:szCs w:val="24"/>
        </w:rPr>
        <w:t xml:space="preserve">Utility Companies and Grid Operators</w:t>
      </w:r>
    </w:p>
    <w:p>
      <w:pPr>
        <w:spacing w:after="200" w:before="0" w:line="360" w:lineRule="auto"/>
        <w:jc w:val="both"/>
      </w:pPr>
      <w:r>
        <w:rPr>
          <w:rFonts w:ascii="Times New Roman" w:cs="Times New Roman" w:eastAsia="Times New Roman" w:hAnsi="Times New Roman"/>
          <w:sz w:val="24"/>
          <w:szCs w:val="24"/>
        </w:rPr>
        <w:t xml:space="preserve">Electricity distribution companies (DISCOMs) in India and internationally are increasingly interested in controllable aggregated demand — the ability to remotely coordinate the charge-discharge behavior of thousands of individually small battery storage systems to provide grid balancing services. The communication architecture demonstrated in this project (FastAPI endpoints, JSON payloads, real-time state monitoring) is precisely what would be required for a DISCOM to integrate customer-side battery systems into a virtual power plant aggregation platform.</w:t>
      </w:r>
    </w:p>
    <w:p>
      <w:pPr>
        <w:spacing w:after="160" w:before="0" w:line="360" w:lineRule="auto"/>
      </w:pPr>
    </w:p>
    <w:p>
      <w:pPr>
        <w:spacing w:after="160" w:before="360" w:line="360" w:lineRule="auto"/>
        <w:jc w:val="left"/>
      </w:pPr>
      <w:r>
        <w:rPr>
          <w:rFonts w:ascii="Times New Roman" w:cs="Times New Roman" w:eastAsia="Times New Roman" w:hAnsi="Times New Roman"/>
          <w:sz w:val="28"/>
          <w:szCs w:val="28"/>
        </w:rPr>
        <w:t xml:space="preserve">7.2   Improvements and Future Directions</w:t>
      </w:r>
    </w:p>
    <w:p>
      <w:pPr>
        <w:spacing w:after="80" w:before="0" w:line="360" w:lineRule="auto"/>
      </w:pPr>
    </w:p>
    <w:p>
      <w:pPr>
        <w:spacing w:after="100" w:before="200" w:line="360" w:lineRule="auto"/>
        <w:jc w:val="left"/>
      </w:pPr>
      <w:r>
        <w:rPr>
          <w:rFonts w:ascii="Times New Roman" w:cs="Times New Roman" w:eastAsia="Times New Roman" w:hAnsi="Times New Roman"/>
          <w:b/>
          <w:bCs/>
          <w:sz w:val="24"/>
          <w:szCs w:val="24"/>
        </w:rPr>
        <w:t xml:space="preserve">Battery Degradation Modelling</w:t>
      </w:r>
    </w:p>
    <w:p>
      <w:pPr>
        <w:spacing w:after="200" w:before="0" w:line="360" w:lineRule="auto"/>
        <w:jc w:val="both"/>
      </w:pPr>
      <w:r>
        <w:rPr>
          <w:rFonts w:ascii="Times New Roman" w:cs="Times New Roman" w:eastAsia="Times New Roman" w:hAnsi="Times New Roman"/>
          <w:sz w:val="24"/>
          <w:szCs w:val="24"/>
        </w:rPr>
        <w:t xml:space="preserve">The current system treats battery efficiency and capacity as fixed constants. In reality, lithium-ion capacity fades progressively with each charge-discharge cycle, at a rate that depends on cycle depth (how much of the capacity is used per cycle), C-rate (how fast the charging/discharging occurs relative to capacity), and operating temperature. Incorporating a cycle-life degradation model into the reward function would allow the PPO agent to learn policies that balance short-term cost minimization against long-term battery asset preservation — trading slightly higher electricity costs for significantly extended battery lifetime.</w:t>
      </w:r>
    </w:p>
    <w:p>
      <w:pPr>
        <w:spacing w:after="100" w:before="200" w:line="360" w:lineRule="auto"/>
        <w:jc w:val="left"/>
      </w:pPr>
      <w:r>
        <w:rPr>
          <w:rFonts w:ascii="Times New Roman" w:cs="Times New Roman" w:eastAsia="Times New Roman" w:hAnsi="Times New Roman"/>
          <w:b/>
          <w:bCs/>
          <w:sz w:val="24"/>
          <w:szCs w:val="24"/>
        </w:rPr>
        <w:t xml:space="preserve">Multi-Agent Reinforcement Learning (MARL) for P2P Trading</w:t>
      </w:r>
    </w:p>
    <w:p>
      <w:pPr>
        <w:spacing w:after="200" w:before="0" w:line="360" w:lineRule="auto"/>
        <w:jc w:val="both"/>
      </w:pPr>
      <w:r>
        <w:rPr>
          <w:rFonts w:ascii="Times New Roman" w:cs="Times New Roman" w:eastAsia="Times New Roman" w:hAnsi="Times New Roman"/>
          <w:sz w:val="24"/>
          <w:szCs w:val="24"/>
        </w:rPr>
        <w:t xml:space="preserve">The natural scale-up of this project is deploying multiple independent PPO agents across a network of interconnected microgrids — a smart city block, an industrial park, or a university campus. Each agent would optimize its own facility's cost while also having the ability to trade energy surpluses directly with neighboring agents via Peer-to-Peer (P2P) contracts negotiated through a shared communication layer. During periods when one facility has excess solar generation and another has high demand, P2P trading allows the surplus to be sold directly at an intermediate price — better than the off-peak grid rate for the seller and better than the peak rate for the buyer — creating economic value that a single-facility system cannot capture.</w:t>
      </w:r>
    </w:p>
    <w:p>
      <w:pPr>
        <w:spacing w:after="100" w:before="200" w:line="360" w:lineRule="auto"/>
        <w:jc w:val="left"/>
      </w:pPr>
      <w:r>
        <w:rPr>
          <w:rFonts w:ascii="Times New Roman" w:cs="Times New Roman" w:eastAsia="Times New Roman" w:hAnsi="Times New Roman"/>
          <w:b/>
          <w:bCs/>
          <w:sz w:val="24"/>
          <w:szCs w:val="24"/>
        </w:rPr>
        <w:t xml:space="preserve">Vehicle-to-Grid (V2G) Integration</w:t>
      </w:r>
    </w:p>
    <w:p>
      <w:pPr>
        <w:spacing w:after="200" w:before="0" w:line="360" w:lineRule="auto"/>
        <w:jc w:val="both"/>
      </w:pPr>
      <w:r>
        <w:rPr>
          <w:rFonts w:ascii="Times New Roman" w:cs="Times New Roman" w:eastAsia="Times New Roman" w:hAnsi="Times New Roman"/>
          <w:sz w:val="24"/>
          <w:szCs w:val="24"/>
        </w:rPr>
        <w:t xml:space="preserve">As electric vehicle (EV) adoption accelerates in India and globally, parked EVs represent a massive distributed battery storage resource. A V2G-enabled version of this EMS could coordinate the charging and discharging of a fleet of EVs parked at a facility — charging them during off-peak hours and using their battery capacity to supplement the BESS during peak hours. This would dramatically increase the effective storage capacity available for arbitrage without requiring additional dedicated BESS hardware investment.</w:t>
      </w:r>
    </w:p>
    <w:p>
      <w:pPr>
        <w:spacing w:after="100" w:before="200" w:line="360" w:lineRule="auto"/>
        <w:jc w:val="left"/>
      </w:pPr>
      <w:r>
        <w:rPr>
          <w:rFonts w:ascii="Times New Roman" w:cs="Times New Roman" w:eastAsia="Times New Roman" w:hAnsi="Times New Roman"/>
          <w:b/>
          <w:bCs/>
          <w:sz w:val="24"/>
          <w:szCs w:val="24"/>
        </w:rPr>
        <w:t xml:space="preserve">Carbon Emission Optimization</w:t>
      </w:r>
    </w:p>
    <w:p>
      <w:pPr>
        <w:spacing w:after="200" w:before="0" w:line="360" w:lineRule="auto"/>
        <w:jc w:val="both"/>
      </w:pPr>
      <w:r>
        <w:rPr>
          <w:rFonts w:ascii="Times New Roman" w:cs="Times New Roman" w:eastAsia="Times New Roman" w:hAnsi="Times New Roman"/>
          <w:sz w:val="24"/>
          <w:szCs w:val="24"/>
        </w:rPr>
        <w:t xml:space="preserve">The current reward function optimizes purely for cost. However, grid electricity has a varying carbon intensity throughout the day: renewable-heavy periods (when wind and solar contribute more to the grid mix) have lower carbon intensity, while fossil-fuel-peaking periods (often coinciding with demand peaks) have higher intensity. A dual-objective reward function that balances cost minimization against carbon minimization would allow the EMS to contribute to the facility's ESG (Environmental, Social, Governance) sustainability targets in addition to its economic objectives.</w:t>
      </w:r>
    </w:p>
    <w:p>
      <w:pPr>
        <w:spacing w:after="0" w:before="0" w:line="360" w:lineRule="auto"/>
      </w:pPr>
      <w:r>
        <w:br w:type="page"/>
      </w:r>
    </w:p>
    <w:p>
      <w:pPr>
        <w:spacing w:after="320" w:before="480" w:line="360" w:lineRule="auto"/>
        <w:jc w:val="center"/>
      </w:pPr>
      <w:r>
        <w:rPr>
          <w:rFonts w:ascii="Times New Roman" w:cs="Times New Roman" w:eastAsia="Times New Roman" w:hAnsi="Times New Roman"/>
          <w:b/>
          <w:bCs/>
          <w:sz w:val="32"/>
          <w:szCs w:val="32"/>
        </w:rPr>
        <w:t xml:space="preserve">SECTION 8: HOW THE FRAMEWORK AND ARCHITECTURE WERE DESIGNED AND IMPLEMENTED</w:t>
      </w:r>
    </w:p>
    <w:p>
      <w:pPr>
        <w:spacing w:after="160" w:before="360" w:line="360" w:lineRule="auto"/>
        <w:jc w:val="left"/>
      </w:pPr>
      <w:r>
        <w:rPr>
          <w:rFonts w:ascii="Times New Roman" w:cs="Times New Roman" w:eastAsia="Times New Roman" w:hAnsi="Times New Roman"/>
          <w:sz w:val="28"/>
          <w:szCs w:val="28"/>
        </w:rPr>
        <w:t xml:space="preserve">8.1   The Design Philosophy: Physics First</w:t>
      </w:r>
    </w:p>
    <w:p>
      <w:pPr>
        <w:spacing w:after="200" w:before="0" w:line="360" w:lineRule="auto"/>
        <w:jc w:val="both"/>
      </w:pPr>
      <w:r>
        <w:rPr>
          <w:rFonts w:ascii="Times New Roman" w:cs="Times New Roman" w:eastAsia="Times New Roman" w:hAnsi="Times New Roman"/>
          <w:sz w:val="24"/>
          <w:szCs w:val="24"/>
        </w:rPr>
        <w:t xml:space="preserve">The central architectural principle was physics-first design: every component of the system must respect the laws of physics and the constraints of real hardware before any optimization is attempted. This principle manifested in three concrete decisions. First, the Gym environment was built and validated against hand-calculated examples before any AI training began. Second, the battery constraint enforcement was implemented at the environment layer (via the hard clipping step) independently of the reward penalty layer, ensuring physical constraints hold even if the reward function contains errors. Third, the edge override layer was implemented independently of both the AI inference layer and the API layer, ensuring hardware limits are enforced even if both the AI and the backend fail simultaneously.</w:t>
      </w:r>
    </w:p>
    <w:p>
      <w:pPr>
        <w:spacing w:after="160" w:before="0" w:line="360" w:lineRule="auto"/>
      </w:pPr>
    </w:p>
    <w:p>
      <w:pPr>
        <w:spacing w:after="160" w:before="360" w:line="360" w:lineRule="auto"/>
        <w:jc w:val="left"/>
      </w:pPr>
      <w:r>
        <w:rPr>
          <w:rFonts w:ascii="Times New Roman" w:cs="Times New Roman" w:eastAsia="Times New Roman" w:hAnsi="Times New Roman"/>
          <w:sz w:val="28"/>
          <w:szCs w:val="28"/>
        </w:rPr>
        <w:t xml:space="preserve">8.2   The Three-Tier Architecture</w:t>
      </w:r>
    </w:p>
    <w:p>
      <w:pPr>
        <w:spacing w:after="200" w:before="0" w:line="360" w:lineRule="auto"/>
        <w:jc w:val="both"/>
      </w:pPr>
      <w:r>
        <w:rPr>
          <w:rFonts w:ascii="Times New Roman" w:cs="Times New Roman" w:eastAsia="Times New Roman" w:hAnsi="Times New Roman"/>
          <w:sz w:val="24"/>
          <w:szCs w:val="24"/>
        </w:rPr>
        <w:t xml:space="preserve">The system was architected as three clearly separated tiers to address the fundamental mismatch between training-time computational requirements and inference-time operational requirements. The Heavy-Compute Training Tier runs once: it ingests the full 52,608-hour dataset, trains both LSTM models and the PPO agent over hours of GPU computation, and produces compact serialized model files. The Lightweight Inference Tier runs continuously: it loads the serialized model files and serves predictions through a FastAPI endpoint, performing only forward-pass neural network operations that complete in milliseconds. The Edge Presentation Tier runs in the user's browser: it polls the Inference Tier API at 1.5-second intervals and renders the dashboard without any AI computation of its own.</w:t>
      </w:r>
    </w:p>
    <w:p>
      <w:pPr>
        <w:spacing w:after="200" w:before="0" w:line="360" w:lineRule="auto"/>
        <w:jc w:val="both"/>
      </w:pPr>
      <w:r>
        <w:rPr>
          <w:rFonts w:ascii="Times New Roman" w:cs="Times New Roman" w:eastAsia="Times New Roman" w:hAnsi="Times New Roman"/>
          <w:sz w:val="24"/>
          <w:szCs w:val="24"/>
        </w:rPr>
        <w:t xml:space="preserve">This three-tier separation has a critical practical advantage: it allows the Training Tier to be executed on powerful cloud hardware (or a GPU-equipped workstation) while the Inference Tier runs on much cheaper hardware — even a Raspberry Pi 4 is capable of serving the FastAPI inference endpoint — and the Presentation Tier runs entirely in any modern web browser with no local computation requirement. This architecture makes the system deployable in cost-constrained industrial environments where dedicated AI hardware is not economically justified.</w:t>
      </w:r>
    </w:p>
    <w:p>
      <w:pPr>
        <w:spacing w:after="160" w:before="0" w:line="360" w:lineRule="auto"/>
      </w:pPr>
    </w:p>
    <w:p>
      <w:pPr>
        <w:spacing w:after="160" w:before="360" w:line="360" w:lineRule="auto"/>
        <w:jc w:val="left"/>
      </w:pPr>
      <w:r>
        <w:rPr>
          <w:rFonts w:ascii="Times New Roman" w:cs="Times New Roman" w:eastAsia="Times New Roman" w:hAnsi="Times New Roman"/>
          <w:sz w:val="28"/>
          <w:szCs w:val="28"/>
        </w:rPr>
        <w:t xml:space="preserve">8.3   The Custom Gym Environment Design</w:t>
      </w:r>
    </w:p>
    <w:p>
      <w:pPr>
        <w:spacing w:after="200" w:before="0" w:line="360" w:lineRule="auto"/>
        <w:jc w:val="both"/>
      </w:pPr>
      <w:r>
        <w:rPr>
          <w:rFonts w:ascii="Times New Roman" w:cs="Times New Roman" w:eastAsia="Times New Roman" w:hAnsi="Times New Roman"/>
          <w:sz w:val="24"/>
          <w:szCs w:val="24"/>
        </w:rPr>
        <w:t xml:space="preserve">The MicrogridPPOEnv Gym class was designed around five core methods. The __init__() method initializes all physical parameters (C_max, eta, SoC bounds, inverter limits), defines the observation_space (a Box with five dimensions, all in [0,1]) and action_space (a Box with one dimension in [-1,1]), and loads the NASA dataset into memory. The reset() method reinitializes the environment to a random starting state sampled from the dataset (a random hour from which the episode will run), returning the initial observation. The step() method applies the agent's action, updates the battery SoC using Equations 2.2 and 2.3, computes the grid import using Equation 2.4, calculates the reward using Equation 2.5, applies the constraint penalty if boundaries were violated, and returns (next_state, reward, done, info). The render() method produces a text summary of the current state for debugging. The _normalize() helper method converts raw physical values to the [0,1] normalized range for the observation vector.</w:t>
      </w:r>
    </w:p>
    <w:p>
      <w:pPr>
        <w:spacing w:after="0" w:before="0" w:line="360" w:lineRule="auto"/>
      </w:pPr>
      <w:r>
        <w:br w:type="page"/>
      </w:r>
    </w:p>
    <w:p>
      <w:pPr>
        <w:spacing w:after="320" w:before="480" w:line="360" w:lineRule="auto"/>
        <w:jc w:val="center"/>
      </w:pPr>
      <w:r>
        <w:rPr>
          <w:rFonts w:ascii="Times New Roman" w:cs="Times New Roman" w:eastAsia="Times New Roman" w:hAnsi="Times New Roman"/>
          <w:b/>
          <w:bCs/>
          <w:sz w:val="32"/>
          <w:szCs w:val="32"/>
        </w:rPr>
        <w:t xml:space="preserve">SECTION 9: STEP-BY-STEP DEVELOPMENT PROCESS — FROM LITERATURE TO IMPLEMENTATION</w:t>
      </w:r>
    </w:p>
    <w:p>
      <w:pPr>
        <w:spacing w:after="160" w:before="360" w:line="360" w:lineRule="auto"/>
        <w:jc w:val="left"/>
      </w:pPr>
      <w:r>
        <w:rPr>
          <w:rFonts w:ascii="Times New Roman" w:cs="Times New Roman" w:eastAsia="Times New Roman" w:hAnsi="Times New Roman"/>
          <w:sz w:val="28"/>
          <w:szCs w:val="28"/>
        </w:rPr>
        <w:t xml:space="preserve">9.1   Step 1: Reading the Literature and Identifying the Gap</w:t>
      </w:r>
    </w:p>
    <w:p>
      <w:pPr>
        <w:spacing w:after="200" w:before="0" w:line="360" w:lineRule="auto"/>
        <w:jc w:val="both"/>
      </w:pPr>
      <w:r>
        <w:rPr>
          <w:rFonts w:ascii="Times New Roman" w:cs="Times New Roman" w:eastAsia="Times New Roman" w:hAnsi="Times New Roman"/>
          <w:sz w:val="24"/>
          <w:szCs w:val="24"/>
        </w:rPr>
        <w:t xml:space="preserve">The project began with a systematic review of eight research papers. The key insight from this review was not what had been done but what had not been done together. Kuznetsova et al. (2013) proved RL works for microgrid dispatch but used tabular Q-learning unsuitable for continuous spaces. Francois-Lavet et al. (2016) proved DRL works but did not integrate a forecasting layer, forcing the agent to operate reactively. Ji et al. (2019) combined DRL with real-time operation but did not address the operator trust problem. Dusabimana and Yoon (2020) explicitly identified operator trust as the critical deployment barrier but proposed no solution.</w:t>
      </w:r>
    </w:p>
    <w:p>
      <w:pPr>
        <w:spacing w:after="200" w:before="0" w:line="360" w:lineRule="auto"/>
        <w:jc w:val="both"/>
      </w:pPr>
      <w:r>
        <w:rPr>
          <w:rFonts w:ascii="Times New Roman" w:cs="Times New Roman" w:eastAsia="Times New Roman" w:hAnsi="Times New Roman"/>
          <w:sz w:val="24"/>
          <w:szCs w:val="24"/>
        </w:rPr>
        <w:t xml:space="preserve">The research gap was therefore: no existing work combined (1) accurate multi-step temporal forecasting using LSTM, (2) continuous-action DRL dispatch using PPO, AND (3) an Explainable AI interface that addresses the operator trust barrier — all in a single integrated system validated against a real multi-year meteorological dataset. This threefold gap became the project's contribution statement.</w:t>
      </w:r>
    </w:p>
    <w:p>
      <w:pPr>
        <w:spacing w:after="160" w:before="0" w:line="360" w:lineRule="auto"/>
      </w:pPr>
    </w:p>
    <w:p>
      <w:pPr>
        <w:spacing w:after="160" w:before="360" w:line="360" w:lineRule="auto"/>
        <w:jc w:val="left"/>
      </w:pPr>
      <w:r>
        <w:rPr>
          <w:rFonts w:ascii="Times New Roman" w:cs="Times New Roman" w:eastAsia="Times New Roman" w:hAnsi="Times New Roman"/>
          <w:sz w:val="28"/>
          <w:szCs w:val="28"/>
        </w:rPr>
        <w:t xml:space="preserve">9.2   Step 2: Formulating the Mathematics Before Writing Code</w:t>
      </w:r>
    </w:p>
    <w:p>
      <w:pPr>
        <w:spacing w:after="200" w:before="0" w:line="360" w:lineRule="auto"/>
        <w:jc w:val="both"/>
      </w:pPr>
      <w:r>
        <w:rPr>
          <w:rFonts w:ascii="Times New Roman" w:cs="Times New Roman" w:eastAsia="Times New Roman" w:hAnsi="Times New Roman"/>
          <w:sz w:val="24"/>
          <w:szCs w:val="24"/>
        </w:rPr>
        <w:t xml:space="preserve">Before any code was written, the complete mathematical framework was derived on paper: the five-dimensional state vector, the battery dynamics equations with the 0.965 efficiency coefficient, the nodal energy balance equation, the reward function with the -10,000 penalty calibration, and the ToU tariff schedule. This mathematical specification served as the authoritative reference against which all subsequent code was validated — every line of the Gym environment's step() function can be traced directly to one of these equations. This approach prevented the common error of discovering mathematical inconsistencies after training has begun, which would require discarding all training results and starting over.</w:t>
      </w:r>
    </w:p>
    <w:p>
      <w:pPr>
        <w:spacing w:after="160" w:before="0" w:line="360" w:lineRule="auto"/>
      </w:pPr>
    </w:p>
    <w:p>
      <w:pPr>
        <w:spacing w:after="160" w:before="360" w:line="360" w:lineRule="auto"/>
        <w:jc w:val="left"/>
      </w:pPr>
      <w:r>
        <w:rPr>
          <w:rFonts w:ascii="Times New Roman" w:cs="Times New Roman" w:eastAsia="Times New Roman" w:hAnsi="Times New Roman"/>
          <w:sz w:val="28"/>
          <w:szCs w:val="28"/>
        </w:rPr>
        <w:t xml:space="preserve">9.3   Step 3: Data Engineering Before Modelling</w:t>
      </w:r>
    </w:p>
    <w:p>
      <w:pPr>
        <w:spacing w:after="200" w:before="0" w:line="360" w:lineRule="auto"/>
        <w:jc w:val="both"/>
      </w:pPr>
      <w:r>
        <w:rPr>
          <w:rFonts w:ascii="Times New Roman" w:cs="Times New Roman" w:eastAsia="Times New Roman" w:hAnsi="Times New Roman"/>
          <w:sz w:val="24"/>
          <w:szCs w:val="24"/>
        </w:rPr>
        <w:t xml:space="preserve">The dataset was processed entirely before any neural network was built. This enforced discipline that many machine learning projects skip: understanding the data before trying to model it. The EDA phase produced the three critical findings (bimodal solar, 2.5-hour HVAC lag, triple coincidence at 18:00) that shaped every subsequent architectural decision. Had the LSTM been built before the EDA, its architecture might have been chosen without understanding the 2.5-hour lag that makes the 48-step input sequence specifically necessary. Had the Gym environment been built before the EDA, the tariff structure might have been set at uniform pricing, missing the economic insight that drives the arbitrage strategy.</w:t>
      </w:r>
    </w:p>
    <w:p>
      <w:pPr>
        <w:spacing w:after="160" w:before="0" w:line="360" w:lineRule="auto"/>
      </w:pPr>
    </w:p>
    <w:p>
      <w:pPr>
        <w:spacing w:after="160" w:before="360" w:line="360" w:lineRule="auto"/>
        <w:jc w:val="left"/>
      </w:pPr>
      <w:r>
        <w:rPr>
          <w:rFonts w:ascii="Times New Roman" w:cs="Times New Roman" w:eastAsia="Times New Roman" w:hAnsi="Times New Roman"/>
          <w:sz w:val="28"/>
          <w:szCs w:val="28"/>
        </w:rPr>
        <w:t xml:space="preserve">9.4   Step 4: Building and Validating the LSTM Before the PPO</w:t>
      </w:r>
    </w:p>
    <w:p>
      <w:pPr>
        <w:spacing w:after="200" w:before="0" w:line="360" w:lineRule="auto"/>
        <w:jc w:val="both"/>
      </w:pPr>
      <w:r>
        <w:rPr>
          <w:rFonts w:ascii="Times New Roman" w:cs="Times New Roman" w:eastAsia="Times New Roman" w:hAnsi="Times New Roman"/>
          <w:sz w:val="24"/>
          <w:szCs w:val="24"/>
        </w:rPr>
        <w:t xml:space="preserve">The two LSTM forecasters were built and validated independently before the PPO training began. This sequential approach was deliberate: the LSTM's forecast accuracy directly determines the quality of the state information available to the PPO agent. An agent trained on low-quality forecasts will learn a policy adapted to poor predictions rather than one that correctly exploits the underlying physical reality. By achieving Solar MAE = 2.0748 kW and Load MAE = 3.5385 kW before beginning PPO training, confidence was established that the agent was learning from accurate representations of the environment's future states.</w:t>
      </w:r>
    </w:p>
    <w:p>
      <w:pPr>
        <w:spacing w:after="160" w:before="0" w:line="360" w:lineRule="auto"/>
      </w:pPr>
    </w:p>
    <w:p>
      <w:pPr>
        <w:spacing w:after="160" w:before="360" w:line="360" w:lineRule="auto"/>
        <w:jc w:val="left"/>
      </w:pPr>
      <w:r>
        <w:rPr>
          <w:rFonts w:ascii="Times New Roman" w:cs="Times New Roman" w:eastAsia="Times New Roman" w:hAnsi="Times New Roman"/>
          <w:sz w:val="28"/>
          <w:szCs w:val="28"/>
        </w:rPr>
        <w:t xml:space="preserve">9.5   Step 5: PPO Training with Diagnostic Monitoring</w:t>
      </w:r>
    </w:p>
    <w:p>
      <w:pPr>
        <w:spacing w:after="200" w:before="0" w:line="360" w:lineRule="auto"/>
        <w:jc w:val="both"/>
      </w:pPr>
      <w:r>
        <w:rPr>
          <w:rFonts w:ascii="Times New Roman" w:cs="Times New Roman" w:eastAsia="Times New Roman" w:hAnsi="Times New Roman"/>
          <w:sz w:val="24"/>
          <w:szCs w:val="24"/>
        </w:rPr>
        <w:t xml:space="preserve">PPO training was monitored through five diagnostic metrics at each evaluation checkpoint: the rolling mean reward (to detect convergence), the constraint violation rate (to verify the penalty calibration is working), the action distribution entropy (to verify sufficient exploration), the mean SoC at the end of each episode (to verify the battery is being appropriately managed), and the proportion of peak-hour timesteps with zero grid import (to directly measure the primary business objective). When early training runs showed the agent idling excessively, the action distribution entropy metric immediately revealed this: entropy was collapsing to near-zero (indicating the agent was almost always selecting the same action), which directed the investigation toward the reward function rather than the architecture.</w:t>
      </w:r>
    </w:p>
    <w:p>
      <w:pPr>
        <w:spacing w:after="160" w:before="0" w:line="360" w:lineRule="auto"/>
      </w:pPr>
    </w:p>
    <w:p>
      <w:pPr>
        <w:spacing w:after="160" w:before="360" w:line="360" w:lineRule="auto"/>
        <w:jc w:val="left"/>
      </w:pPr>
      <w:r>
        <w:rPr>
          <w:rFonts w:ascii="Times New Roman" w:cs="Times New Roman" w:eastAsia="Times New Roman" w:hAnsi="Times New Roman"/>
          <w:sz w:val="28"/>
          <w:szCs w:val="28"/>
        </w:rPr>
        <w:t xml:space="preserve">9.6   Step 6: Frontend Built Last, Integrated Incrementally</w:t>
      </w:r>
    </w:p>
    <w:p>
      <w:pPr>
        <w:spacing w:after="200" w:before="0" w:line="360" w:lineRule="auto"/>
        <w:jc w:val="both"/>
      </w:pPr>
      <w:r>
        <w:rPr>
          <w:rFonts w:ascii="Times New Roman" w:cs="Times New Roman" w:eastAsia="Times New Roman" w:hAnsi="Times New Roman"/>
          <w:sz w:val="24"/>
          <w:szCs w:val="24"/>
        </w:rPr>
        <w:t xml:space="preserve">The React dashboard was the final component built. This sequencing was deliberate: building the interface before the backend is complete produces a system where the interface drives architectural decisions that should be determined by the physics and the AI. By the time the frontend was built, every value it needed to display was already computed and validated by the backend. The frontend was built incrementally: first the basic telemetry KPI panel (verifying API connectivity), then the SoC progress indicator (verifying battery state updates), then the forecast chart (verifying LSTM predictions are rendering correctly), then the XAI banner (verifying the decision string logic), and finally the SCADA override panel (verifying physical constraint enforcement through the override pathway). Each addition was tested in isolation before proceeding to the next.</w:t>
      </w:r>
    </w:p>
    <w:p>
      <w:pPr>
        <w:spacing w:after="0" w:before="0" w:line="360" w:lineRule="auto"/>
      </w:pPr>
      <w:r>
        <w:br w:type="page"/>
      </w:r>
    </w:p>
    <w:p>
      <w:pPr>
        <w:spacing w:after="320" w:before="480" w:line="360" w:lineRule="auto"/>
        <w:jc w:val="center"/>
      </w:pPr>
      <w:r>
        <w:rPr>
          <w:rFonts w:ascii="Times New Roman" w:cs="Times New Roman" w:eastAsia="Times New Roman" w:hAnsi="Times New Roman"/>
          <w:b/>
          <w:bCs/>
          <w:sz w:val="32"/>
          <w:szCs w:val="32"/>
        </w:rPr>
        <w:t xml:space="preserve">SECTION 10: EVERY WORD OF THE PROJECT TITLE — AND HOW THEY COMBINE</w:t>
      </w:r>
    </w:p>
    <w:p>
      <w:pPr>
        <w:spacing w:after="200" w:before="0" w:line="360" w:lineRule="auto"/>
        <w:jc w:val="both"/>
      </w:pPr>
      <w:r>
        <w:rPr>
          <w:rFonts w:ascii="Times New Roman" w:cs="Times New Roman" w:eastAsia="Times New Roman" w:hAnsi="Times New Roman"/>
          <w:sz w:val="24"/>
          <w:szCs w:val="24"/>
        </w:rPr>
        <w:t xml:space="preserve">The project title is: 'Smart Microgrid Energy Management System Using Deep Reinforcement Learning'. Each word carries specific technical meaning, and together they precisely describe a system that addresses a real, commercially significant problem in the energy sector.</w:t>
      </w:r>
    </w:p>
    <w:p>
      <w:pPr>
        <w:spacing w:after="160" w:before="0" w:line="360" w:lineRule="auto"/>
      </w:pPr>
    </w:p>
    <w:p>
      <w:pPr>
        <w:spacing w:after="160" w:before="360" w:line="360" w:lineRule="auto"/>
        <w:jc w:val="left"/>
      </w:pPr>
      <w:r>
        <w:rPr>
          <w:rFonts w:ascii="Times New Roman" w:cs="Times New Roman" w:eastAsia="Times New Roman" w:hAnsi="Times New Roman"/>
          <w:sz w:val="28"/>
          <w:szCs w:val="28"/>
        </w:rPr>
        <w:t xml:space="preserve">10.1   Smart</w:t>
      </w:r>
    </w:p>
    <w:p>
      <w:pPr>
        <w:spacing w:after="200" w:before="0" w:line="360" w:lineRule="auto"/>
        <w:jc w:val="both"/>
      </w:pPr>
      <w:r>
        <w:rPr>
          <w:rFonts w:ascii="Times New Roman" w:cs="Times New Roman" w:eastAsia="Times New Roman" w:hAnsi="Times New Roman"/>
          <w:sz w:val="24"/>
          <w:szCs w:val="24"/>
        </w:rPr>
        <w:t xml:space="preserve">'Smart' in the context of energy systems means the system uses real-time data, computing, and intelligence to make autonomous or semi-autonomous decisions — as opposed to a 'dumb' or conventional system that operates on fixed, pre-programmed rules. A smart traffic light adjusts its timing based on actual traffic flow; a smart thermostat learns your schedule and adjusts temperature accordingly; a smart microgrid adjusts its battery dispatch based on real-time generation, demand, and pricing data. The 'smart' qualifier signals to the reader that this is an AI-driven system, not a conventional rule-based controller. In this project, 'smart' is made concrete by the LSTM forecaster (predictive intelligence) and the PPO agent (adaptive decision intelligence).</w:t>
      </w:r>
    </w:p>
    <w:p>
      <w:pPr>
        <w:spacing w:after="160" w:before="0" w:line="360" w:lineRule="auto"/>
      </w:pPr>
    </w:p>
    <w:p>
      <w:pPr>
        <w:spacing w:after="160" w:before="360" w:line="360" w:lineRule="auto"/>
        <w:jc w:val="left"/>
      </w:pPr>
      <w:r>
        <w:rPr>
          <w:rFonts w:ascii="Times New Roman" w:cs="Times New Roman" w:eastAsia="Times New Roman" w:hAnsi="Times New Roman"/>
          <w:sz w:val="28"/>
          <w:szCs w:val="28"/>
        </w:rPr>
        <w:t xml:space="preserve">10.2   Microgrid</w:t>
      </w:r>
    </w:p>
    <w:p>
      <w:pPr>
        <w:spacing w:after="200" w:before="0" w:line="360" w:lineRule="auto"/>
        <w:jc w:val="both"/>
      </w:pPr>
      <w:r>
        <w:rPr>
          <w:rFonts w:ascii="Times New Roman" w:cs="Times New Roman" w:eastAsia="Times New Roman" w:hAnsi="Times New Roman"/>
          <w:sz w:val="24"/>
          <w:szCs w:val="24"/>
        </w:rPr>
        <w:t xml:space="preserve">'Microgrid' precisely defines the physical domain of the system. It is not a system for the national grid (too large and complex), not a system for a single home (too simple), but specifically for a localized, bounded network of generators, storage, and loads at the facility or campus scale. The word 'micro' signals scale (small to medium: kilowatts to megawatts range) and the word 'grid' signals complexity (not a single device but a network with multiple interconnected components requiring coordinated management). This specificity matters: the mathematical model, the hardware constraints, the tariff structure, and the operational requirements are all specific to the microgrid context.</w:t>
      </w:r>
    </w:p>
    <w:p>
      <w:pPr>
        <w:spacing w:after="160" w:before="0" w:line="360" w:lineRule="auto"/>
      </w:pPr>
    </w:p>
    <w:p>
      <w:pPr>
        <w:spacing w:after="160" w:before="360" w:line="360" w:lineRule="auto"/>
        <w:jc w:val="left"/>
      </w:pPr>
      <w:r>
        <w:rPr>
          <w:rFonts w:ascii="Times New Roman" w:cs="Times New Roman" w:eastAsia="Times New Roman" w:hAnsi="Times New Roman"/>
          <w:sz w:val="28"/>
          <w:szCs w:val="28"/>
        </w:rPr>
        <w:t xml:space="preserve">10.3   Energy</w:t>
      </w:r>
    </w:p>
    <w:p>
      <w:pPr>
        <w:spacing w:after="200" w:before="0" w:line="360" w:lineRule="auto"/>
        <w:jc w:val="both"/>
      </w:pPr>
      <w:r>
        <w:rPr>
          <w:rFonts w:ascii="Times New Roman" w:cs="Times New Roman" w:eastAsia="Times New Roman" w:hAnsi="Times New Roman"/>
          <w:sz w:val="24"/>
          <w:szCs w:val="24"/>
        </w:rPr>
        <w:t xml:space="preserve">'Energy' is the physical quantity being managed — measured in kilowatt-hours. This is distinct from 'power' (the instantaneous rate of energy flow, measured in kilowatts). Energy management means deciding how much energy to store, when to release it, and where it comes from across time. A power management system would simply balance instantaneous generation and demand; an energy management system additionally optimizes temporal decisions — deciding now what to do with energy later. The temporal dimension is what makes this problem interesting and what requires forecasting intelligence.</w:t>
      </w:r>
    </w:p>
    <w:p>
      <w:pPr>
        <w:spacing w:after="160" w:before="0" w:line="360" w:lineRule="auto"/>
      </w:pPr>
    </w:p>
    <w:p>
      <w:pPr>
        <w:spacing w:after="160" w:before="360" w:line="360" w:lineRule="auto"/>
        <w:jc w:val="left"/>
      </w:pPr>
      <w:r>
        <w:rPr>
          <w:rFonts w:ascii="Times New Roman" w:cs="Times New Roman" w:eastAsia="Times New Roman" w:hAnsi="Times New Roman"/>
          <w:sz w:val="28"/>
          <w:szCs w:val="28"/>
        </w:rPr>
        <w:t xml:space="preserve">10.4   Management System</w:t>
      </w:r>
    </w:p>
    <w:p>
      <w:pPr>
        <w:spacing w:after="200" w:before="0" w:line="360" w:lineRule="auto"/>
        <w:jc w:val="both"/>
      </w:pPr>
      <w:r>
        <w:rPr>
          <w:rFonts w:ascii="Times New Roman" w:cs="Times New Roman" w:eastAsia="Times New Roman" w:hAnsi="Times New Roman"/>
          <w:sz w:val="24"/>
          <w:szCs w:val="24"/>
        </w:rPr>
        <w:t xml:space="preserve">'Management System' indicates that this is not a component or a model but a complete, deployable system that handles the full management lifecycle: data acquisition (NASA API, real-time sensors), forecasting (LSTM), decision-making (PPO), actuation (dispatch commands), monitoring (SCADA dashboard), and human oversight (XAI and overrides). The word 'system' implies integration and operational completeness. A management system must handle all operating conditions — normal, peak demand, renewable shortage, grid fault — not just the nominal case that a research prototype is designed around.</w:t>
      </w:r>
    </w:p>
    <w:p>
      <w:pPr>
        <w:spacing w:after="160" w:before="0" w:line="360" w:lineRule="auto"/>
      </w:pPr>
    </w:p>
    <w:p>
      <w:pPr>
        <w:spacing w:after="160" w:before="360" w:line="360" w:lineRule="auto"/>
        <w:jc w:val="left"/>
      </w:pPr>
      <w:r>
        <w:rPr>
          <w:rFonts w:ascii="Times New Roman" w:cs="Times New Roman" w:eastAsia="Times New Roman" w:hAnsi="Times New Roman"/>
          <w:sz w:val="28"/>
          <w:szCs w:val="28"/>
        </w:rPr>
        <w:t xml:space="preserve">10.5   Using</w:t>
      </w:r>
    </w:p>
    <w:p>
      <w:pPr>
        <w:spacing w:after="200" w:before="0" w:line="360" w:lineRule="auto"/>
        <w:jc w:val="both"/>
      </w:pPr>
      <w:r>
        <w:rPr>
          <w:rFonts w:ascii="Times New Roman" w:cs="Times New Roman" w:eastAsia="Times New Roman" w:hAnsi="Times New Roman"/>
          <w:sz w:val="24"/>
          <w:szCs w:val="24"/>
        </w:rPr>
        <w:t xml:space="preserve">The word 'using' precisely signals the methodological relationship: Deep Reinforcement Learning is the tool applied to solve the energy management problem. It is not 'built on' (which would suggest the entire system is DRL) or 'with' (which would suggest DRL is a co-equal component). 'Using' correctly captures that DRL is the core algorithmic engine driving the dispatch decisions, while LSTM forecasting, the physics model, the FastAPI backend, and the React dashboard are the supporting infrastructure that makes DRL applicable to the problem.</w:t>
      </w:r>
    </w:p>
    <w:p>
      <w:pPr>
        <w:spacing w:after="160" w:before="0" w:line="360" w:lineRule="auto"/>
      </w:pPr>
    </w:p>
    <w:p>
      <w:pPr>
        <w:spacing w:after="160" w:before="360" w:line="360" w:lineRule="auto"/>
        <w:jc w:val="left"/>
      </w:pPr>
      <w:r>
        <w:rPr>
          <w:rFonts w:ascii="Times New Roman" w:cs="Times New Roman" w:eastAsia="Times New Roman" w:hAnsi="Times New Roman"/>
          <w:sz w:val="28"/>
          <w:szCs w:val="28"/>
        </w:rPr>
        <w:t xml:space="preserve">10.6   Deep</w:t>
      </w:r>
    </w:p>
    <w:p>
      <w:pPr>
        <w:spacing w:after="200" w:before="0" w:line="360" w:lineRule="auto"/>
        <w:jc w:val="both"/>
      </w:pPr>
      <w:r>
        <w:rPr>
          <w:rFonts w:ascii="Times New Roman" w:cs="Times New Roman" w:eastAsia="Times New Roman" w:hAnsi="Times New Roman"/>
          <w:sz w:val="24"/>
          <w:szCs w:val="24"/>
        </w:rPr>
        <w:t xml:space="preserve">'Deep' in 'Deep Reinforcement Learning' has a specific technical meaning: it signals that neural networks (specifically, multi-layer deep neural networks) are used as function approximators within the RL framework. 'Shallow' RL (like tabular Q-learning) uses lookup tables that become infeasible for continuous or high-dimensional state spaces. 'Deep' RL uses neural networks that can approximate any function and scale to arbitrary state space dimensionality. The depth refers to the multiple layers of the neural network — in this project, the PPO policy network uses two hidden layers — allowing it to learn complex, non-linear relationships between system states and optimal actions.</w:t>
      </w:r>
    </w:p>
    <w:p>
      <w:pPr>
        <w:spacing w:after="160" w:before="0" w:line="360" w:lineRule="auto"/>
      </w:pPr>
    </w:p>
    <w:p>
      <w:pPr>
        <w:spacing w:after="160" w:before="360" w:line="360" w:lineRule="auto"/>
        <w:jc w:val="left"/>
      </w:pPr>
      <w:r>
        <w:rPr>
          <w:rFonts w:ascii="Times New Roman" w:cs="Times New Roman" w:eastAsia="Times New Roman" w:hAnsi="Times New Roman"/>
          <w:sz w:val="28"/>
          <w:szCs w:val="28"/>
        </w:rPr>
        <w:t xml:space="preserve">10.7   Reinforcement Learning</w:t>
      </w:r>
    </w:p>
    <w:p>
      <w:pPr>
        <w:spacing w:after="200" w:before="0" w:line="360" w:lineRule="auto"/>
        <w:jc w:val="both"/>
      </w:pPr>
      <w:r>
        <w:rPr>
          <w:rFonts w:ascii="Times New Roman" w:cs="Times New Roman" w:eastAsia="Times New Roman" w:hAnsi="Times New Roman"/>
          <w:sz w:val="24"/>
          <w:szCs w:val="24"/>
        </w:rPr>
        <w:t xml:space="preserve">'Reinforcement Learning' specifies the learning paradigm: the agent learns by trial-and-error interaction with an environment, receiving reward signals that guide it toward better behavior. This contrasts with supervised learning (which requires labeled training examples showing the correct action for every state), and with optimization-based approaches (which require an explicit mathematical model of the system). The choice of RL over these alternatives is motivated by the specific characteristics of the energy management problem: the absence of labeled optimal-action training data, the complexity of explicitly modeling the environment (weather uncertainty, dynamic tariffs, battery nonlinearity), and the need for real-time inference speed that optimization solvers cannot provide.</w:t>
      </w:r>
    </w:p>
    <w:p>
      <w:pPr>
        <w:spacing w:after="160" w:before="0" w:line="360" w:lineRule="auto"/>
      </w:pPr>
    </w:p>
    <w:p>
      <w:pPr>
        <w:spacing w:after="160" w:before="360" w:line="360" w:lineRule="auto"/>
        <w:jc w:val="left"/>
      </w:pPr>
      <w:r>
        <w:rPr>
          <w:rFonts w:ascii="Times New Roman" w:cs="Times New Roman" w:eastAsia="Times New Roman" w:hAnsi="Times New Roman"/>
          <w:sz w:val="28"/>
          <w:szCs w:val="28"/>
        </w:rPr>
        <w:t xml:space="preserve">10.8   How the Words Combine into a System</w:t>
      </w:r>
    </w:p>
    <w:p>
      <w:pPr>
        <w:spacing w:after="200" w:before="0" w:line="360" w:lineRule="auto"/>
        <w:jc w:val="both"/>
      </w:pPr>
      <w:r>
        <w:rPr>
          <w:rFonts w:ascii="Times New Roman" w:cs="Times New Roman" w:eastAsia="Times New Roman" w:hAnsi="Times New Roman"/>
          <w:sz w:val="24"/>
          <w:szCs w:val="24"/>
        </w:rPr>
        <w:t xml:space="preserve">Together, the title describes a complete engineering contribution: a system (Management System) that operates at the facility scale (Microgrid), handles the temporal optimization of electrical energy flows (Energy), applies intelligence that learns from interaction rather than from pre-programmed rules (Reinforcement Learning), uses neural networks to scale that learning to real continuous systems (Deep), and is designed for autonomous, data-driven operation rather than passive monitoring (Smart). Every word is load-bearing — remove any one of them and the description no longer accurately captures what the project built.</w:t>
      </w:r>
    </w:p>
    <w:p>
      <w:pPr>
        <w:spacing w:after="160" w:before="0" w:line="360" w:lineRule="auto"/>
      </w:pPr>
    </w:p>
    <w:p>
      <w:pPr>
        <w:spacing w:after="200" w:before="0" w:line="360" w:lineRule="auto"/>
        <w:jc w:val="both"/>
      </w:pPr>
      <w:r>
        <w:rPr>
          <w:rFonts w:ascii="Times New Roman" w:cs="Times New Roman" w:eastAsia="Times New Roman" w:hAnsi="Times New Roman"/>
          <w:sz w:val="24"/>
          <w:szCs w:val="24"/>
        </w:rPr>
        <w:t xml:space="preserve">The title also implicitly contains the project's value proposition: by combining 'Smart' (intelligence) with 'Microgrid' (scale) and 'Deep Reinforcement Learning' (the specific method), it signals to an informed reader that this project addresses the real, unsolved problem of applying scalable learned intelligence to the operational management of distributed energy infrastructure — a problem that is commercially urgent, technically challenging, and currently underserved by available solutions.</w:t>
      </w:r>
    </w:p>
    <w:p>
      <w:pPr>
        <w:spacing w:after="0" w:before="0" w:line="360" w:lineRule="auto"/>
      </w:pPr>
      <w:r>
        <w:br w:type="page"/>
      </w:r>
    </w:p>
    <w:p>
      <w:pPr>
        <w:spacing w:after="200" w:before="0" w:line="360" w:lineRule="auto"/>
        <w:jc w:val="center"/>
      </w:pPr>
      <w:r>
        <w:rPr>
          <w:rFonts w:ascii="Times New Roman" w:cs="Times New Roman" w:eastAsia="Times New Roman" w:hAnsi="Times New Roman"/>
          <w:b/>
          <w:bCs/>
          <w:sz w:val="24"/>
          <w:szCs w:val="24"/>
        </w:rPr>
        <w:t xml:space="preserve">— End of Supplementary Technical Deep-Dive Document —</w:t>
      </w:r>
    </w:p>
    <w:p>
      <w:pPr>
        <w:spacing w:after="200" w:before="0" w:line="360" w:lineRule="auto"/>
        <w:jc w:val="center"/>
      </w:pPr>
      <w:r>
        <w:rPr>
          <w:rFonts w:ascii="Times New Roman" w:cs="Times New Roman" w:eastAsia="Times New Roman" w:hAnsi="Times New Roman"/>
          <w:sz w:val="24"/>
          <w:szCs w:val="24"/>
        </w:rPr>
        <w:t xml:space="preserve">Dhruv Bansal | 22BEE0248 | B.Tech EEE | VIT Vellore | May 2026</w:t>
      </w:r>
    </w:p>
    <w:sectPr>
      <w:footerReference w:type="default" r:id="rId7"/>
      <w:type w:val="nextPage"/>
      <w:pgSz w:w="11906" w:h="16838" w:orient="portrait"/>
      <w:pgMar w:top="144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2026-04-24T07:07:56.504Z</dcterms:created>
  <dcterms:modified xsi:type="dcterms:W3CDTF">2026-04-24T07:07:56.506Z</dcterms:modified>
</cp:coreProperties>
</file>

<file path=docProps/custom.xml><?xml version="1.0" encoding="utf-8"?>
<Properties xmlns="http://schemas.openxmlformats.org/officeDocument/2006/custom-properties" xmlns:vt="http://schemas.openxmlformats.org/officeDocument/2006/docPropsVTypes"/>
</file>