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720"/>
              <w:left w:type="dxa" w:w="720"/>
              <w:bottom w:type="dxa" w:w="720"/>
              <w:right w:type="dxa" w:w="720"/>
            </w:tcMar>
          </w:tcPr>
          <w:p>
            <w:pPr>
              <w:spacing w:after="120"/>
              <w:jc w:val="center"/>
            </w:pPr>
            <w:r>
              <w:rPr>
                <w:rFonts w:ascii="Arial" w:cs="Arial" w:eastAsia="Arial" w:hAnsi="Arial"/>
                <w:b/>
                <w:bCs/>
                <w:color w:val="00D4FF"/>
                <w:sz w:val="72"/>
                <w:szCs w:val="72"/>
              </w:rPr>
              <w:t xml:space="preserve">NEXXORE</w:t>
            </w:r>
          </w:p>
          <w:p>
            <w:pPr>
              <w:spacing w:after="120"/>
              <w:jc w:val="center"/>
            </w:pPr>
            <w:r>
              <w:rPr>
                <w:rFonts w:ascii="Arial" w:cs="Arial" w:eastAsia="Arial" w:hAnsi="Arial"/>
                <w:color w:val="FFFFFF"/>
                <w:sz w:val="36"/>
                <w:szCs w:val="36"/>
              </w:rPr>
              <w:t xml:space="preserve">Product Requirements Document</w:t>
            </w:r>
          </w:p>
          <w:p>
            <w:pPr>
              <w:spacing w:after="120"/>
              <w:jc w:val="center"/>
            </w:pPr>
            <w:r>
              <w:rPr>
                <w:rFonts w:ascii="Arial" w:cs="Arial" w:eastAsia="Arial" w:hAnsi="Arial"/>
                <w:color w:val="9BB5D0"/>
                <w:sz w:val="24"/>
                <w:szCs w:val="24"/>
              </w:rPr>
              <w:t xml:space="preserve">Version 1.0  |  June 2026</w:t>
            </w:r>
          </w:p>
          <w:p>
            <w:pPr>
              <w:spacing w:after="240"/>
              <w:jc w:val="center"/>
            </w:pPr>
            <w:r>
              <w:rPr>
                <w:rFonts w:ascii="Arial" w:cs="Arial" w:eastAsia="Arial" w:hAnsi="Arial"/>
                <w:b/>
                <w:bCs/>
                <w:color w:val="7B2FFF"/>
                <w:sz w:val="28"/>
                <w:szCs w:val="28"/>
              </w:rPr>
              <w:t xml:space="preserve">Agentic DeFi Execution Infrastructure</w:t>
            </w:r>
          </w:p>
          <w:p>
            <w:pPr>
              <w:jc w:val="center"/>
            </w:pPr>
            <w:r>
              <w:rPr>
                <w:rFonts w:ascii="Arial" w:cs="Arial" w:eastAsia="Arial" w:hAnsi="Arial"/>
                <w:b/>
                <w:bCs/>
                <w:color w:val="FFD700"/>
                <w:sz w:val="18"/>
                <w:szCs w:val="18"/>
              </w:rPr>
              <w:t xml:space="preserve">CONFIDENTIAL — INTERNAL USE ONLY</w:t>
            </w:r>
          </w:p>
        </w:tc>
      </w:tr>
    </w:tbl>
    <w:p>
      <w:pPr>
        <w:spacing w:after="80" w:before="80"/>
      </w:pPr>
      <w:r>
        <w:t xml:space="preserve"/>
      </w:r>
    </w:p>
    <w:p>
      <w:pPr>
        <w:spacing w:after="80" w:before="80"/>
      </w:pPr>
      <w:r>
        <w:t xml:space="preserve"/>
      </w:r>
    </w:p>
    <w:p>
      <w:pPr>
        <w:spacing w:after="80"/>
        <w:jc w:val="left"/>
      </w:pPr>
      <w:r>
        <w:rPr>
          <w:rFonts w:ascii="Arial" w:cs="Arial" w:eastAsia="Arial" w:hAnsi="Arial"/>
          <w:b/>
          <w:bCs/>
          <w:color w:val="0A0F1E"/>
          <w:sz w:val="22"/>
          <w:szCs w:val="22"/>
        </w:rPr>
        <w:t xml:space="preserve">Document Purpose</w:t>
      </w:r>
    </w:p>
    <w:p>
      <w:pPr>
        <w:spacing w:after="120" w:before="80"/>
      </w:pPr>
      <w:r>
        <w:rPr>
          <w:rFonts w:ascii="Arial" w:cs="Arial" w:eastAsia="Arial" w:hAnsi="Arial"/>
          <w:b w:val="false"/>
          <w:bCs w:val="false"/>
          <w:color w:val="1A1A2E"/>
          <w:sz w:val="22"/>
          <w:szCs w:val="22"/>
        </w:rPr>
        <w:t xml:space="preserve">This PRD is the single source of truth for NEXXORE's product development, growth strategy, and developer execution. It synthesises the competitive landscape analysis, ICP research, and growth roadmap into actionable requirements that a junior developer can pick up and execute from day one.</w:t>
      </w:r>
    </w:p>
    <w:p>
      <w:pPr>
        <w:spacing w:after="120" w:before="80"/>
      </w:pPr>
      <w:r>
        <w:rPr>
          <w:rFonts w:ascii="Arial" w:cs="Arial" w:eastAsia="Arial" w:hAnsi="Arial"/>
          <w:b w:val="false"/>
          <w:bCs w:val="false"/>
          <w:color w:val="1A1A2E"/>
          <w:sz w:val="22"/>
          <w:szCs w:val="22"/>
        </w:rPr>
        <w:t xml:space="preserve">Sections 1-4 cover context and requirements. Sections 5-6 contain copy-paste developer prompts. Section 7 is the 12-sprint execution roadmap.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rPr>
          <w:tblHeader/>
        </w:trPr>
        <w:tc>
          <w:tcPr>
            <w:tcW w:type="dxa" w:w="72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Section</w:t>
            </w:r>
          </w:p>
        </w:tc>
        <w:tc>
          <w:tcPr>
            <w:tcW w:type="dxa" w:w="648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Title</w:t>
            </w:r>
          </w:p>
        </w:tc>
        <w:tc>
          <w:tcPr>
            <w:tcW w:type="dxa" w:w="21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Pages</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w:t>
            </w:r>
          </w:p>
        </w:tc>
        <w:tc>
          <w:tcPr>
            <w:tcW w:type="dxa" w:w="6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Current State Audit — Product &amp; Architecture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3-6</w:t>
            </w:r>
          </w:p>
        </w:tc>
      </w:tr>
      <w:tr>
        <w:tc>
          <w:tcPr>
            <w:tcW w:type="dxa" w:w="72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2</w:t>
            </w:r>
          </w:p>
        </w:tc>
        <w:tc>
          <w:tcPr>
            <w:tcW w:type="dxa" w:w="648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Full Product Requirements — All Surfaces</w:t>
            </w:r>
          </w:p>
        </w:tc>
        <w:tc>
          <w:tcPr>
            <w:tcW w:type="dxa" w:w="21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7-14</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w:t>
            </w:r>
          </w:p>
        </w:tc>
        <w:tc>
          <w:tcPr>
            <w:tcW w:type="dxa" w:w="6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New Features to Build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15-20</w:t>
            </w:r>
          </w:p>
        </w:tc>
      </w:tr>
      <w:tr>
        <w:tc>
          <w:tcPr>
            <w:tcW w:type="dxa" w:w="72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4</w:t>
            </w:r>
          </w:p>
        </w:tc>
        <w:tc>
          <w:tcPr>
            <w:tcW w:type="dxa" w:w="648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Technical &amp; Security Requirements</w:t>
            </w:r>
          </w:p>
        </w:tc>
        <w:tc>
          <w:tcPr>
            <w:tcW w:type="dxa" w:w="21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21-24</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w:t>
            </w:r>
          </w:p>
        </w:tc>
        <w:tc>
          <w:tcPr>
            <w:tcW w:type="dxa" w:w="6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Developer Prompt 1 — Wallet, Vault &amp; Alerts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25-30</w:t>
            </w:r>
          </w:p>
        </w:tc>
      </w:tr>
      <w:tr>
        <w:tc>
          <w:tcPr>
            <w:tcW w:type="dxa" w:w="72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6</w:t>
            </w:r>
          </w:p>
        </w:tc>
        <w:tc>
          <w:tcPr>
            <w:tcW w:type="dxa" w:w="648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Developer Prompt 2 — Track Record, Telegram, Macro Engine</w:t>
            </w:r>
          </w:p>
        </w:tc>
        <w:tc>
          <w:tcPr>
            <w:tcW w:type="dxa" w:w="21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31-38</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7</w:t>
            </w:r>
          </w:p>
        </w:tc>
        <w:tc>
          <w:tcPr>
            <w:tcW w:type="dxa" w:w="6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Prioritized 12-Sprint Roadmap</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39-44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280"/>
              <w:left w:type="dxa" w:w="360"/>
              <w:bottom w:type="dxa" w:w="280"/>
              <w:right w:type="dxa" w:w="360"/>
            </w:tcMar>
          </w:tcPr>
          <w:p>
            <w:pPr>
              <w:jc w:val="left"/>
            </w:pPr>
            <w:r>
              <w:rPr>
                <w:rFonts w:ascii="Arial" w:cs="Arial" w:eastAsia="Arial" w:hAnsi="Arial"/>
                <w:b/>
                <w:bCs/>
                <w:color w:val="00D4FF"/>
                <w:sz w:val="18"/>
                <w:szCs w:val="18"/>
              </w:rPr>
              <w:t xml:space="preserve">SECTION 1</w:t>
            </w:r>
          </w:p>
          <w:p>
            <w:pPr>
              <w:jc w:val="left"/>
            </w:pPr>
            <w:r>
              <w:rPr>
                <w:rFonts w:ascii="Arial" w:cs="Arial" w:eastAsia="Arial" w:hAnsi="Arial"/>
                <w:b/>
                <w:bCs/>
                <w:color w:val="FFFFFF"/>
                <w:sz w:val="36"/>
                <w:szCs w:val="36"/>
              </w:rPr>
              <w:t xml:space="preserve">Current State Audit</w:t>
            </w:r>
          </w:p>
          <w:p>
            <w:pPr>
              <w:jc w:val="left"/>
            </w:pPr>
            <w:r>
              <w:rPr>
                <w:rFonts w:ascii="Arial" w:cs="Arial" w:eastAsia="Arial" w:hAnsi="Arial"/>
                <w:color w:val="9BB5D0"/>
                <w:sz w:val="22"/>
                <w:szCs w:val="22"/>
              </w:rPr>
              <w:t xml:space="preserve">Product inventory, architecture scoring, and gap analysis</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1.1  What NEXXORE Has Actually Built</w:t>
      </w:r>
    </w:p>
    <w:p>
      <w:pPr>
        <w:spacing w:after="120" w:before="80"/>
      </w:pPr>
      <w:r>
        <w:rPr>
          <w:rFonts w:ascii="Arial" w:cs="Arial" w:eastAsia="Arial" w:hAnsi="Arial"/>
          <w:b w:val="false"/>
          <w:bCs w:val="false"/>
          <w:color w:val="1A1A2E"/>
          <w:sz w:val="22"/>
          <w:szCs w:val="22"/>
        </w:rPr>
        <w:t xml:space="preserve">An honest, forensic review of the five live products against what the platform claims to deliver — and what a potential enterprise user or sophisticated trader would verify on first contact.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Product</w:t>
            </w:r>
          </w:p>
        </w:tc>
        <w:tc>
          <w:tcPr>
            <w:tcW w:type="dxa" w:w="15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Current Maturity</w:t>
            </w:r>
          </w:p>
        </w:tc>
        <w:tc>
          <w:tcPr>
            <w:tcW w:type="dxa" w:w="3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Works</w:t>
            </w:r>
          </w:p>
        </w:tc>
        <w:tc>
          <w:tcPr>
            <w:tcW w:type="dxa" w:w="28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What's Missing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Terminal v5.1</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Ship-ready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52 live streams, geopolitical map, AI signals, macro overlay</w:t>
            </w:r>
          </w:p>
        </w:tc>
        <w:tc>
          <w:tcPr>
            <w:tcW w:type="dxa" w:w="2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Public, timestamped track record; verified P&amp;L history</w:t>
            </w:r>
          </w:p>
        </w:tc>
      </w:tr>
      <w:tr>
        <w:tc>
          <w:tcPr>
            <w:tcW w:type="dxa" w:w="2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Strategy Builder</w:t>
            </w:r>
          </w:p>
        </w:tc>
        <w:tc>
          <w:tcPr>
            <w:tcW w:type="dxa" w:w="1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Ship-ready</w:t>
            </w:r>
          </w:p>
        </w:tc>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Perps + options, live Greeks, Deribit execution</w:t>
            </w:r>
          </w:p>
        </w:tc>
        <w:tc>
          <w:tcPr>
            <w:tcW w:type="dxa" w:w="28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Backtesting engine; regime-tagged strategy library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Prediction Agent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Ship-ready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750+ market scanner, edge detection (&gt;=8c), Telegram alerts</w:t>
            </w:r>
          </w:p>
        </w:tc>
        <w:tc>
          <w:tcPr>
            <w:tcW w:type="dxa" w:w="2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Historical accuracy rate; public track record page</w:t>
            </w:r>
          </w:p>
        </w:tc>
      </w:tr>
      <w:tr>
        <w:tc>
          <w:tcPr>
            <w:tcW w:type="dxa" w:w="2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Stablecoin Hub</w:t>
            </w:r>
          </w:p>
        </w:tc>
        <w:tc>
          <w:tcPr>
            <w:tcW w:type="dxa" w:w="1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Ship-ready</w:t>
            </w:r>
          </w:p>
        </w:tc>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Yield comparison across venues</w:t>
            </w:r>
          </w:p>
        </w:tc>
        <w:tc>
          <w:tcPr>
            <w:tcW w:type="dxa" w:w="28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Protocol risk scoring; liquidity depth ranking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Vaults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Ship-ready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Strategy allocation with CVaR risk metrics</w:t>
            </w:r>
          </w:p>
        </w:tc>
        <w:tc>
          <w:tcPr>
            <w:tcW w:type="dxa" w:w="2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ERC-4626 smart contracts; on-chain verifiability; circuit breakers</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1.2  The Three-Layer Architecture — Scored</w:t>
      </w:r>
    </w:p>
    <w:p>
      <w:pPr>
        <w:spacing w:after="120" w:before="80"/>
      </w:pPr>
      <w:r>
        <w:rPr>
          <w:rFonts w:ascii="Arial" w:cs="Arial" w:eastAsia="Arial" w:hAnsi="Arial"/>
          <w:b w:val="false"/>
          <w:bCs w:val="false"/>
          <w:color w:val="1A1A2E"/>
          <w:sz w:val="22"/>
          <w:szCs w:val="22"/>
        </w:rPr>
        <w:t xml:space="preserve">NEXXORE's moat is the three-layer stack: data ingestion → risk modeling → multi-chain execution. Below is a layer-by-layer assessment.</w:t>
      </w:r>
    </w:p>
    <w:p>
      <w:pPr>
        <w:spacing w:after="80" w:before="80"/>
      </w:pPr>
      <w:r>
        <w:t xml:space="preserve"/>
      </w:r>
    </w:p>
    <w:p>
      <w:pPr>
        <w:pStyle w:val="Heading3"/>
        <w:spacing w:after="80" w:before="240"/>
      </w:pPr>
      <w:r>
        <w:rPr>
          <w:rFonts w:ascii="Arial" w:cs="Arial" w:eastAsia="Arial" w:hAnsi="Arial"/>
          <w:b/>
          <w:bCs/>
          <w:color w:val="7B2FFF"/>
          <w:sz w:val="24"/>
          <w:szCs w:val="24"/>
        </w:rPr>
        <w:t xml:space="preserve">Layer 1 —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800"/>
        <w:gridCol w:w="4360"/>
      </w:tblGrid>
      <w:tr>
        <w:trPr>
          <w:tblHeader/>
        </w:trPr>
        <w:tc>
          <w:tcPr>
            <w:tcW w:type="dxa" w:w="3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Component</w:t>
            </w:r>
          </w:p>
        </w:tc>
        <w:tc>
          <w:tcPr>
            <w:tcW w:type="dxa" w:w="12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Status</w:t>
            </w:r>
          </w:p>
        </w:tc>
        <w:tc>
          <w:tcPr>
            <w:tcW w:type="dxa" w:w="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Score</w:t>
            </w:r>
          </w:p>
        </w:tc>
        <w:tc>
          <w:tcPr>
            <w:tcW w:type="dxa" w:w="43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52 live market data streams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Genuine differentiator vs competitors</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Geopolitical event indexing</w:t>
            </w:r>
          </w:p>
        </w:tc>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w:t>
            </w:r>
          </w:p>
        </w:tc>
        <w:tc>
          <w:tcPr>
            <w:tcW w:type="dxa" w:w="4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No competitor has this layer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Macro indicators (Fed, energy, shipping)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Unique signal source for DeFi</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Prediction market data (Polymarket, Manifold)</w:t>
            </w:r>
          </w:p>
        </w:tc>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B+</w:t>
            </w:r>
          </w:p>
        </w:tc>
        <w:tc>
          <w:tcPr>
            <w:tcW w:type="dxa" w:w="4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750+ markets; needs resolution tracking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On-chain data feeds (Ethereum, Arbitrum, Base, Solana)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4 chains covered; expand to Optimism, Polygon</w:t>
            </w:r>
          </w:p>
        </w:tc>
      </w:tr>
    </w:tbl>
    <w:p>
      <w:pPr>
        <w:spacing w:after="80" w:before="80"/>
      </w:pPr>
      <w:r>
        <w:t xml:space="preserve"/>
      </w:r>
    </w:p>
    <w:p>
      <w:pPr>
        <w:pStyle w:val="Heading3"/>
        <w:spacing w:after="80" w:before="240"/>
      </w:pPr>
      <w:r>
        <w:rPr>
          <w:rFonts w:ascii="Arial" w:cs="Arial" w:eastAsia="Arial" w:hAnsi="Arial"/>
          <w:b/>
          <w:bCs/>
          <w:color w:val="7B2FFF"/>
          <w:sz w:val="24"/>
          <w:szCs w:val="24"/>
        </w:rPr>
        <w:t xml:space="preserve">Layer 2 — Risk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800"/>
        <w:gridCol w:w="4360"/>
      </w:tblGrid>
      <w:tr>
        <w:trPr>
          <w:tblHeader/>
        </w:trPr>
        <w:tc>
          <w:tcPr>
            <w:tcW w:type="dxa" w:w="3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Component</w:t>
            </w:r>
          </w:p>
        </w:tc>
        <w:tc>
          <w:tcPr>
            <w:tcW w:type="dxa" w:w="12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Status</w:t>
            </w:r>
          </w:p>
        </w:tc>
        <w:tc>
          <w:tcPr>
            <w:tcW w:type="dxa" w:w="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Score</w:t>
            </w:r>
          </w:p>
        </w:tc>
        <w:tc>
          <w:tcPr>
            <w:tcW w:type="dxa" w:w="43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CVaR (Conditional Value-at-Risk)</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Differentiates vs yield-only competitors</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Regime detection engine</w:t>
            </w:r>
          </w:p>
        </w:tc>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w:t>
            </w:r>
          </w:p>
        </w:tc>
        <w:tc>
          <w:tcPr>
            <w:tcW w:type="dxa" w:w="4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Needs labeled regime history for backtesting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Liquidation density mapping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Strong; needs public verification dashboard</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Escalation Index (geopolitical)</w:t>
            </w:r>
          </w:p>
        </w:tc>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w:t>
            </w:r>
          </w:p>
        </w:tc>
        <w:tc>
          <w:tcPr>
            <w:tcW w:type="dxa" w:w="4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Core IP — no competitor has this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Protocol risk scoring (stablecoins)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Gap</w:t>
            </w:r>
          </w:p>
        </w:tc>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Not yet built — critical for Stablecoin Hub credibility</w:t>
            </w:r>
          </w:p>
        </w:tc>
      </w:tr>
    </w:tbl>
    <w:p>
      <w:pPr>
        <w:spacing w:after="80" w:before="80"/>
      </w:pPr>
      <w:r>
        <w:t xml:space="preserve"/>
      </w:r>
    </w:p>
    <w:p>
      <w:pPr>
        <w:pStyle w:val="Heading3"/>
        <w:spacing w:after="80" w:before="240"/>
      </w:pPr>
      <w:r>
        <w:rPr>
          <w:rFonts w:ascii="Arial" w:cs="Arial" w:eastAsia="Arial" w:hAnsi="Arial"/>
          <w:b/>
          <w:bCs/>
          <w:color w:val="7B2FFF"/>
          <w:sz w:val="24"/>
          <w:szCs w:val="24"/>
        </w:rPr>
        <w:t xml:space="preserve">Layer 3 — Multi-Chain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800"/>
        <w:gridCol w:w="4360"/>
      </w:tblGrid>
      <w:tr>
        <w:trPr>
          <w:tblHeader/>
        </w:trPr>
        <w:tc>
          <w:tcPr>
            <w:tcW w:type="dxa" w:w="3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Component</w:t>
            </w:r>
          </w:p>
        </w:tc>
        <w:tc>
          <w:tcPr>
            <w:tcW w:type="dxa" w:w="12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Status</w:t>
            </w:r>
          </w:p>
        </w:tc>
        <w:tc>
          <w:tcPr>
            <w:tcW w:type="dxa" w:w="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Score</w:t>
            </w:r>
          </w:p>
        </w:tc>
        <w:tc>
          <w:tcPr>
            <w:tcW w:type="dxa" w:w="43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Ethereum execution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Needs ERC-4626 vault contracts</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Arbitrum execution</w:t>
            </w:r>
          </w:p>
        </w:tc>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B+</w:t>
            </w:r>
          </w:p>
        </w:tc>
        <w:tc>
          <w:tcPr>
            <w:tcW w:type="dxa" w:w="4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As above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Base execution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Giza dominates here — differentiate on risk layer</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Solana execution</w:t>
            </w:r>
          </w:p>
        </w:tc>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Live</w:t>
            </w:r>
          </w:p>
        </w:tc>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B-</w:t>
            </w:r>
          </w:p>
        </w:tc>
        <w:tc>
          <w:tcPr>
            <w:tcW w:type="dxa" w:w="4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Least developed chain integration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Non-custodial wallet architecture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Gap</w:t>
            </w:r>
          </w:p>
        </w:tc>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 wallet connect — critical trust gap vs NEYRO</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1.3  The Discovery Gap — NEXXORE's Real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F" w:val="clear"/>
            <w:tcMar>
              <w:top w:type="dxa" w:w="160"/>
              <w:left w:type="dxa" w:w="240"/>
              <w:bottom w:type="dxa" w:w="160"/>
              <w:right w:type="dxa" w:w="240"/>
            </w:tcMar>
          </w:tcPr>
          <w:p>
            <w:r>
              <w:rPr>
                <w:rFonts w:ascii="Arial" w:cs="Arial" w:eastAsia="Arial" w:hAnsi="Arial"/>
                <w:b/>
                <w:bCs/>
                <w:color w:val="7B2FFF"/>
                <w:sz w:val="22"/>
                <w:szCs w:val="22"/>
              </w:rPr>
              <w:t xml:space="preserve">Key Insight</w:t>
            </w:r>
          </w:p>
          <w:p>
            <w:r>
              <w:rPr>
                <w:rFonts w:ascii="Arial" w:cs="Arial" w:eastAsia="Arial" w:hAnsi="Arial"/>
                <w:color w:val="1A1A2E"/>
                <w:sz w:val="22"/>
                <w:szCs w:val="22"/>
              </w:rPr>
              <w:t xml:space="preserve">NEXXORE does not have a product gap. It has a discovery gap. World-class infrastructure is operating in effective stealth mode. The three fixes that unlock growth are: (1) verifiable public performance numbers, (2) wallet connect infrastructure, and (3) a flagship named vault with on-chain TVL.</w:t>
            </w:r>
          </w:p>
        </w:tc>
      </w:tr>
    </w:tbl>
    <w:p>
      <w:pPr>
        <w:spacing w:after="80" w:before="80"/>
      </w:pPr>
      <w:r>
        <w:t xml:space="preserve"/>
      </w:r>
    </w:p>
    <w:p>
      <w:pPr>
        <w:spacing w:after="120" w:before="80"/>
      </w:pPr>
      <w:r>
        <w:rPr>
          <w:rFonts w:ascii="Arial" w:cs="Arial" w:eastAsia="Arial" w:hAnsi="Arial"/>
          <w:b w:val="false"/>
          <w:bCs w:val="false"/>
          <w:color w:val="1A1A2E"/>
          <w:sz w:val="22"/>
          <w:szCs w:val="22"/>
        </w:rPr>
        <w:t xml:space="preserve">Giza leads with $3.96B in agentic volume. Almanak leads with $132M TVL and 100,000+ users. NEXXORE leads with zero public performance numbers. This is the single most damaging gap — and the most fixable.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280"/>
              <w:left w:type="dxa" w:w="360"/>
              <w:bottom w:type="dxa" w:w="280"/>
              <w:right w:type="dxa" w:w="360"/>
            </w:tcMar>
          </w:tcPr>
          <w:p>
            <w:pPr>
              <w:jc w:val="left"/>
            </w:pPr>
            <w:r>
              <w:rPr>
                <w:rFonts w:ascii="Arial" w:cs="Arial" w:eastAsia="Arial" w:hAnsi="Arial"/>
                <w:b/>
                <w:bCs/>
                <w:color w:val="00D4FF"/>
                <w:sz w:val="18"/>
                <w:szCs w:val="18"/>
              </w:rPr>
              <w:t xml:space="preserve">SECTION 2</w:t>
            </w:r>
          </w:p>
          <w:p>
            <w:pPr>
              <w:jc w:val="left"/>
            </w:pPr>
            <w:r>
              <w:rPr>
                <w:rFonts w:ascii="Arial" w:cs="Arial" w:eastAsia="Arial" w:hAnsi="Arial"/>
                <w:b/>
                <w:bCs/>
                <w:color w:val="FFFFFF"/>
                <w:sz w:val="36"/>
                <w:szCs w:val="36"/>
              </w:rPr>
              <w:t xml:space="preserve">Full Product Requirements</w:t>
            </w:r>
          </w:p>
          <w:p>
            <w:pPr>
              <w:jc w:val="left"/>
            </w:pPr>
            <w:r>
              <w:rPr>
                <w:rFonts w:ascii="Arial" w:cs="Arial" w:eastAsia="Arial" w:hAnsi="Arial"/>
                <w:color w:val="9BB5D0"/>
                <w:sz w:val="22"/>
                <w:szCs w:val="22"/>
              </w:rPr>
              <w:t xml:space="preserve">Feature-by-feature specification with acceptance criteria</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2.1  Wallet Authentication &amp; Custody</w:t>
      </w:r>
    </w:p>
    <w:p>
      <w:pPr>
        <w:spacing w:after="120" w:before="80"/>
      </w:pPr>
      <w:r>
        <w:rPr>
          <w:rFonts w:ascii="Arial" w:cs="Arial" w:eastAsia="Arial" w:hAnsi="Arial"/>
          <w:b w:val="false"/>
          <w:bCs w:val="false"/>
          <w:color w:val="1A1A2E"/>
          <w:sz w:val="22"/>
          <w:szCs w:val="22"/>
        </w:rPr>
        <w:t xml:space="preserve">This is the most critical missing infrastructure. Without wallet connect, NEXXORE cannot claim non-custodial status, cannot verify on-chain performance, and cannot onboard serious traders who will not trust a platform without self-custody.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c>
          <w:tcPr>
            <w:tcW w:type="dxa" w:w="14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Priority</w:t>
            </w:r>
          </w:p>
        </w:tc>
        <w:tc>
          <w:tcPr>
            <w:tcW w:type="dxa" w:w="49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Acceptance Criteria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WalletConnect v2 integration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User can connect MetaMask, Coinbase Wallet, Rainbow via WalletConnect modal. Connection persists across sessions.</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Privy or Dynamic embedded wallet</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Email/social login users get an embedded EVM wallet. Private keys are non-custodial. Backup flow exists.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Multi-chain wallet state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Connected wallet shows balances across ETH, ARB, Base, SOL simultaneously.</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Transaction signing flow</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All vault deposits/withdrawals require explicit user signature. No server-side key management.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Session management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JWT with 24-hour expiry. Re-authentication required for withdrawal operations.</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Wallet disconnect + data wipe</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User can disconnect wallet and purge all personal data from NEXXORE servers on demand.</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2.2  Terminal v5.1 — Upgrade Requirements</w:t>
      </w:r>
    </w:p>
    <w:p>
      <w:pPr>
        <w:spacing w:after="120" w:before="80"/>
      </w:pPr>
      <w:r>
        <w:rPr>
          <w:rFonts w:ascii="Arial" w:cs="Arial" w:eastAsia="Arial" w:hAnsi="Arial"/>
          <w:b w:val="false"/>
          <w:bCs w:val="false"/>
          <w:color w:val="1A1A2E"/>
          <w:sz w:val="22"/>
          <w:szCs w:val="22"/>
        </w:rPr>
        <w:t xml:space="preserve">The Terminal is NEXXORE's strongest product. These requirements close the gap between its current ship-ready state and institutional-grade infrastructure.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c>
          <w:tcPr>
            <w:tcW w:type="dxa" w:w="14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Priority</w:t>
            </w:r>
          </w:p>
        </w:tc>
        <w:tc>
          <w:tcPr>
            <w:tcW w:type="dxa" w:w="49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Acceptance Criteria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Public performance dashboard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Every Terminal signal has a timestamped, public-facing resolution URL. Win rate, avg return, Sharpe ratio displayed.</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Escalation Index — public feed</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Escalation Index readings are published to a public API endpoint (rate-limited) and displayed on a public stats page.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Signal attribution trail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Each AI signal shows its source chain: which data stream triggered it, which risk model scored it, which execution route was recommended.</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Geopolitical map — event history</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Map shows historical event pins with timestamps and associated price impact on relevant assets.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Alert customisation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P2</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Users can configure alert thresholds per asset, per risk metric, per escalation level. Persisted to user profile.</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Mobile-responsive layout</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Terminal renders correctly on 375px viewport. All panels collapse gracefully. Touch targets &gt;= 44px.</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2.3  Strategy Builder — Backtesting Engine</w:t>
      </w:r>
    </w:p>
    <w:p>
      <w:pPr>
        <w:spacing w:after="120" w:before="80"/>
      </w:pPr>
      <w:r>
        <w:rPr>
          <w:rFonts w:ascii="Arial" w:cs="Arial" w:eastAsia="Arial" w:hAnsi="Arial"/>
          <w:b w:val="false"/>
          <w:bCs w:val="false"/>
          <w:color w:val="1A1A2E"/>
          <w:sz w:val="22"/>
          <w:szCs w:val="22"/>
        </w:rPr>
        <w:t xml:space="preserve">Without backtesting, the Strategy Builder is a live trading tool only. Backtesting is what separates it from a Bloomberg terminal and makes it competitive with Almanak's simulation depth.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c>
          <w:tcPr>
            <w:tcW w:type="dxa" w:w="14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Priority</w:t>
            </w:r>
          </w:p>
        </w:tc>
        <w:tc>
          <w:tcPr>
            <w:tcW w:type="dxa" w:w="49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Acceptance Criteria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Historical data ingestion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P0</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Strategy Builder can ingest OHLCV data for all supported assets going back 3 years minimum.</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Backtest execution engine</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P0</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User defines entry/exit rules, risk parameters. Engine runs simulation and returns equity curve, max drawdown, Sharpe, win rate.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Regime-tagged backtest overlay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Backtest results display with regime labels (risk-on / risk-off / transition) overlaid on equity curve.</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Greeks live during backtest</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Options strategies show live Greeks (delta, gamma, theta, vega) during simulation — not just at entry.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Strategy gallery export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P2</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User can save a backtest as a named strategy card and publish to the Strategy Gallery (see Section 3).</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Deribit simulation mode</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Backtest engine can simulate Deribit options execution with realistic fee/slippage assumptions.</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2.4  Prediction Agent — Track Record System</w:t>
      </w:r>
    </w:p>
    <w:p>
      <w:pPr>
        <w:spacing w:after="120" w:before="80"/>
      </w:pPr>
      <w:r>
        <w:rPr>
          <w:rFonts w:ascii="Arial" w:cs="Arial" w:eastAsia="Arial" w:hAnsi="Arial"/>
          <w:b w:val="false"/>
          <w:bCs w:val="false"/>
          <w:color w:val="1A1A2E"/>
          <w:sz w:val="22"/>
          <w:szCs w:val="22"/>
        </w:rPr>
        <w:t xml:space="preserve">The Prediction Agent's edge detection is live and functional. The gap is verifiability. Without a public track record, the +18.81% ROI claim on the homepage is marketing, not evidence.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c>
          <w:tcPr>
            <w:tcW w:type="dxa" w:w="14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Priority</w:t>
            </w:r>
          </w:p>
        </w:tc>
        <w:tc>
          <w:tcPr>
            <w:tcW w:type="dxa" w:w="49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Acceptance Criteria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Market resolution tracker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Every market the agent flags is tracked to resolution. Win/loss recorded with timestamp, confidence score, and payout.</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Public track record page</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Public URL showing: markets flagged, markets resolved, win rate, average edge captured, total ROI. Updated in real time.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Edge detection history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Historical log of all flagged markets with edge score, actual resolution outcome, and P&amp;L impact. Downloadable as CSV.</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Confidence calibration chart</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For each edge tier (8c, 10c, 12c, 15c+), show actual vs predicted win rate. Calibration curve displayed.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Telegram alert history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P2</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Telegram alerts archived with timestamp, market URL, edge score. Linked to resolution outcome when available.</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2.5  Stablecoin Hub — Risk-Aware Yield</w:t>
      </w:r>
    </w:p>
    <w:p>
      <w:pPr>
        <w:spacing w:after="120" w:before="80"/>
      </w:pPr>
      <w:r>
        <w:rPr>
          <w:rFonts w:ascii="Arial" w:cs="Arial" w:eastAsia="Arial" w:hAnsi="Arial"/>
          <w:b w:val="false"/>
          <w:bCs w:val="false"/>
          <w:color w:val="1A1A2E"/>
          <w:sz w:val="22"/>
          <w:szCs w:val="22"/>
        </w:rPr>
        <w:t xml:space="preserve">Giza ARMA has $3.96B in agentic volume focused purely on stablecoin yield. NEXXORE's Stablecoin Hub needs to differentiate on risk transparency — showing not just yield but adjusted yield.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c>
          <w:tcPr>
            <w:tcW w:type="dxa" w:w="14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Priority</w:t>
            </w:r>
          </w:p>
        </w:tc>
        <w:tc>
          <w:tcPr>
            <w:tcW w:type="dxa" w:w="49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Acceptance Criteria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Protocol risk scoring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Each protocol displayed has a risk score (1-10) based on: audit status, TVL, smart contract age, exploit history. Methodology documented.</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Risk-adjusted yield display</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APY shown alongside risk-adjusted APY = raw_APY × (1 - protocol_risk_factor). Default sort by risk-adjusted.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Liquidity depth indicator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Each venue shows exit liquidity — how much can be withdrawn in 24h without &gt; 0.5% price impact.</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Macro regime overlay</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Stablecoin Hub shows current macro regime tag. Risk-off regime triggers recommended protocol shift to more conservative venues.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One-click rebalance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P2</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User with connected wallet can rebalance between protocols in one click. Gas estimate shown before confirmation.</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2.6  Vaults — Smart Contract Requirements</w:t>
      </w:r>
    </w:p>
    <w:p>
      <w:pPr>
        <w:spacing w:after="120" w:before="80"/>
      </w:pPr>
      <w:r>
        <w:rPr>
          <w:rFonts w:ascii="Arial" w:cs="Arial" w:eastAsia="Arial" w:hAnsi="Arial"/>
          <w:b w:val="false"/>
          <w:bCs w:val="false"/>
          <w:color w:val="1A1A2E"/>
          <w:sz w:val="22"/>
          <w:szCs w:val="22"/>
        </w:rPr>
        <w:t xml:space="preserve">The Vaults product is the highest-leverage surface for TVL growth and institutional credibility. It requires production-grade smart contracts before any marketing investment.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c>
          <w:tcPr>
            <w:tcW w:type="dxa" w:w="14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Priority</w:t>
            </w:r>
          </w:p>
        </w:tc>
        <w:tc>
          <w:tcPr>
            <w:tcW w:type="dxa" w:w="49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Acceptance Criteria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ERC-4626 tokenized vault standard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vaults implement ERC-4626. Vault tokens are transferable and composable with other DeFi protocols.</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Circuit breaker — drawdown halt</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Vault auto-pauses withdrawals if drawdown exceeds configured threshold (default: 15%). Requires guardian multisig to resume.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Timelock on parameter changes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strategy parameter changes subject to 48-hour timelock. Changes announced on-chain before execution.</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Guardian multisig (3-of-5)</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Protocol parameters controlled by 3-of-5 multisig. Signers publicly disclosed. Uses Gnosis Safe.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Third-party security audit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P0 — Critical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vault contracts audited by Certik, Trail of Bits, or equivalent before any TVL exceeds $100K.</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Performance fee accounting</w:t>
            </w:r>
          </w:p>
        </w:tc>
        <w:tc>
          <w:tcPr>
            <w:tcW w:type="dxa" w:w="1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Performance fee (default: 15% of profits) calculated on high-water mark. Fee accrual transparent on-chain.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Withdrawal queue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P1</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Vault implements withdrawal queue for large redemptions to prevent bank-run dynamics. Max 10% of TVL per 24h.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280"/>
              <w:left w:type="dxa" w:w="360"/>
              <w:bottom w:type="dxa" w:w="280"/>
              <w:right w:type="dxa" w:w="360"/>
            </w:tcMar>
          </w:tcPr>
          <w:p>
            <w:pPr>
              <w:jc w:val="left"/>
            </w:pPr>
            <w:r>
              <w:rPr>
                <w:rFonts w:ascii="Arial" w:cs="Arial" w:eastAsia="Arial" w:hAnsi="Arial"/>
                <w:b/>
                <w:bCs/>
                <w:color w:val="00D4FF"/>
                <w:sz w:val="18"/>
                <w:szCs w:val="18"/>
              </w:rPr>
              <w:t xml:space="preserve">SECTION 3</w:t>
            </w:r>
          </w:p>
          <w:p>
            <w:pPr>
              <w:jc w:val="left"/>
            </w:pPr>
            <w:r>
              <w:rPr>
                <w:rFonts w:ascii="Arial" w:cs="Arial" w:eastAsia="Arial" w:hAnsi="Arial"/>
                <w:b/>
                <w:bCs/>
                <w:color w:val="FFFFFF"/>
                <w:sz w:val="36"/>
                <w:szCs w:val="36"/>
              </w:rPr>
              <w:t xml:space="preserve">New Features to Build</w:t>
            </w:r>
          </w:p>
          <w:p>
            <w:pPr>
              <w:jc w:val="left"/>
            </w:pPr>
            <w:r>
              <w:rPr>
                <w:rFonts w:ascii="Arial" w:cs="Arial" w:eastAsia="Arial" w:hAnsi="Arial"/>
                <w:color w:val="9BB5D0"/>
                <w:sz w:val="22"/>
                <w:szCs w:val="22"/>
              </w:rPr>
              <w:t xml:space="preserve">Five new surfaces that connect product to the scale plan</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3.1  Public Track Record Page</w:t>
      </w:r>
    </w:p>
    <w:p>
      <w:pPr>
        <w:spacing w:after="120" w:before="80"/>
      </w:pPr>
      <w:r>
        <w:rPr>
          <w:rFonts w:ascii="Arial" w:cs="Arial" w:eastAsia="Arial" w:hAnsi="Arial"/>
          <w:b w:val="false"/>
          <w:bCs w:val="false"/>
          <w:color w:val="1A1A2E"/>
          <w:sz w:val="22"/>
          <w:szCs w:val="22"/>
        </w:rPr>
        <w:t xml:space="preserve">This is the single highest-leverage build in the entire roadmap. The +$1.27M / +18.81% ROI claim on the homepage becomes a competitive weapon only when it is verifiable, timestamped, and public.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Feature</w:t>
            </w:r>
          </w:p>
        </w:tc>
        <w:tc>
          <w:tcPr>
            <w:tcW w:type="dxa" w:w="69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Specification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URL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/track-record — permanently public, no login required</w:t>
            </w:r>
          </w:p>
        </w:tc>
      </w:tr>
      <w:tr>
        <w:tc>
          <w:tcPr>
            <w:tcW w:type="dxa" w:w="2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Metrics displayed</w:t>
            </w:r>
          </w:p>
        </w:tc>
        <w:tc>
          <w:tcPr>
            <w:tcW w:type="dxa" w:w="6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Total signals flagged, win rate %, avg return per signal, Sharpe ratio, max drawdown, Calmar ratio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Time filters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7d / 30d / 90d / All time — default 30d</w:t>
            </w:r>
          </w:p>
        </w:tc>
      </w:tr>
      <w:tr>
        <w:tc>
          <w:tcPr>
            <w:tcW w:type="dxa" w:w="2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Signal log</w:t>
            </w:r>
          </w:p>
        </w:tc>
        <w:tc>
          <w:tcPr>
            <w:tcW w:type="dxa" w:w="6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Paginated table: timestamp, asset/market, signal type, confidence score, entry, exit, P&amp;L, status (open/resolved)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Audit trail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Each resolved signal links to on-chain transaction or Polymarket resolution URL</w:t>
            </w:r>
          </w:p>
        </w:tc>
      </w:tr>
      <w:tr>
        <w:tc>
          <w:tcPr>
            <w:tcW w:type="dxa" w:w="2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Export</w:t>
            </w:r>
          </w:p>
        </w:tc>
        <w:tc>
          <w:tcPr>
            <w:tcW w:type="dxa" w:w="6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CSV and JSON download of full signal history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Update frequency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Real-time via WebSocket for open signals; batch resolution job runs every 15 minutes</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3.2  Institutional Onboarding Flow</w:t>
      </w:r>
    </w:p>
    <w:p>
      <w:pPr>
        <w:spacing w:after="120" w:before="80"/>
      </w:pPr>
      <w:r>
        <w:rPr>
          <w:rFonts w:ascii="Arial" w:cs="Arial" w:eastAsia="Arial" w:hAnsi="Arial"/>
          <w:b w:val="false"/>
          <w:bCs w:val="false"/>
          <w:color w:val="1A1A2E"/>
          <w:sz w:val="22"/>
          <w:szCs w:val="22"/>
        </w:rPr>
        <w:t xml:space="preserve">ICP #1 (Crypto Macro Trader) and high-value DeFi allocators need a credentialed onboarding path. This is not just KYC — it is a trust-building flow that converts a skeptical institutional contact into a depositing vault user.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Step</w:t>
            </w:r>
          </w:p>
        </w:tc>
        <w:tc>
          <w:tcPr>
            <w:tcW w:type="dxa" w:w="2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Specification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Landing page — Institutional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Dedicated /institutional page. Headline: 'The only DeFi execution platform where geopolitical intelligence drives capital allocation.' Contains: performance metrics, audit status, TVL, team/advisory section.</w:t>
            </w:r>
          </w:p>
        </w:tc>
      </w:tr>
      <w:tr>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2</w:t>
            </w:r>
          </w:p>
        </w:tc>
        <w:tc>
          <w:tcPr>
            <w:tcW w:type="dxa" w:w="2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Demo request form</w:t>
            </w:r>
          </w:p>
        </w:tc>
        <w:tc>
          <w:tcPr>
            <w:tcW w:type="dxa" w:w="6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Name, firm, AUM range, primary use case. Routes to calendar booking (Calendly embed). Confirmation email auto-sent.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Due diligence pack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Auto-generated PDF containing: strategy overview, risk methodology, audit certificate, team bios, regulatory disclosures.</w:t>
            </w:r>
          </w:p>
        </w:tc>
      </w:tr>
      <w:tr>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4</w:t>
            </w:r>
          </w:p>
        </w:tc>
        <w:tc>
          <w:tcPr>
            <w:tcW w:type="dxa" w:w="2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Vault terms agreement</w:t>
            </w:r>
          </w:p>
        </w:tc>
        <w:tc>
          <w:tcPr>
            <w:tcW w:type="dxa" w:w="6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On-chain acknowledgment of vault terms. Signed with connected wallet. Stored on Arweave for immutability.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Custom reporting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Monthly PDF report auto-generated: vault performance, risk metrics, macro overlay narrative. Emailed to institutional contacts.</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3.3  Telegram Signal Channel — Public Distribution</w:t>
      </w:r>
    </w:p>
    <w:p>
      <w:pPr>
        <w:spacing w:after="120" w:before="80"/>
      </w:pPr>
      <w:r>
        <w:rPr>
          <w:rFonts w:ascii="Arial" w:cs="Arial" w:eastAsia="Arial" w:hAnsi="Arial"/>
          <w:b w:val="false"/>
          <w:bCs w:val="false"/>
          <w:color w:val="1A1A2E"/>
          <w:sz w:val="22"/>
          <w:szCs w:val="22"/>
        </w:rPr>
        <w:t xml:space="preserve">The Prediction Agent already posts Telegram alerts. The upgrade is a public-facing channel that becomes a viral acquisition channel by proving the product works in real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Component</w:t>
            </w:r>
          </w:p>
        </w:tc>
        <w:tc>
          <w:tcPr>
            <w:tcW w:type="dxa" w:w="69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Specification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Channel name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@NEXXORESignals (public, searchable)</w:t>
            </w:r>
          </w:p>
        </w:tc>
      </w:tr>
      <w:tr>
        <w:tc>
          <w:tcPr>
            <w:tcW w:type="dxa" w:w="2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Free tier posts</w:t>
            </w:r>
          </w:p>
        </w:tc>
        <w:tc>
          <w:tcPr>
            <w:tcW w:type="dxa" w:w="6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All signals with edge &gt;= 12c. Format: market name, edge score, confidence %, expiry.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Paid tier posts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signals with edge &gt;= 8c. 4c advantage over free — this is the upgrade hook.</w:t>
            </w:r>
          </w:p>
        </w:tc>
      </w:tr>
      <w:tr>
        <w:tc>
          <w:tcPr>
            <w:tcW w:type="dxa" w:w="2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Daily brief</w:t>
            </w:r>
          </w:p>
        </w:tc>
        <w:tc>
          <w:tcPr>
            <w:tcW w:type="dxa" w:w="6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Automated 08:00 UTC post: top 3 macro signals, Escalation Index reading, top prediction market mover.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Resolution posts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When a flagged market resolves, bot posts outcome: WIN/LOSS, actual vs predicted edge, P&amp;L.</w:t>
            </w:r>
          </w:p>
        </w:tc>
      </w:tr>
      <w:tr>
        <w:tc>
          <w:tcPr>
            <w:tcW w:type="dxa" w:w="2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Bot commands</w:t>
            </w:r>
          </w:p>
        </w:tc>
        <w:tc>
          <w:tcPr>
            <w:tcW w:type="dxa" w:w="6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/stats — track record summary. /markets — current open positions. /upgrade — link to paid tier.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Viral mechanic</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Resolution posts include shareable image card (market name, result, cumulative win rate). Designed for screenshot sharing on X.</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3.4  Strategy Gallery</w:t>
      </w:r>
    </w:p>
    <w:p>
      <w:pPr>
        <w:spacing w:after="120" w:before="80"/>
      </w:pPr>
      <w:r>
        <w:rPr>
          <w:rFonts w:ascii="Arial" w:cs="Arial" w:eastAsia="Arial" w:hAnsi="Arial"/>
          <w:b w:val="false"/>
          <w:bCs w:val="false"/>
          <w:color w:val="1A1A2E"/>
          <w:sz w:val="22"/>
          <w:szCs w:val="22"/>
        </w:rPr>
        <w:t xml:space="preserve">A public-facing library of named, backtested strategies that users can browse, one-click deploy, and contribute to. This is the growth lever that turns NEXXORE from a tool into a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Feature</w:t>
            </w:r>
          </w:p>
        </w:tc>
        <w:tc>
          <w:tcPr>
            <w:tcW w:type="dxa" w:w="69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Specification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Strategy card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Name, author, description (max 200 chars), asset class, timeframe, regime tag, backtest Sharpe, backtest max drawdown, live P&amp;L (if deployed).</w:t>
            </w:r>
          </w:p>
        </w:tc>
      </w:tr>
      <w:tr>
        <w:tc>
          <w:tcPr>
            <w:tcW w:type="dxa" w:w="2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Filter/sort</w:t>
            </w:r>
          </w:p>
        </w:tc>
        <w:tc>
          <w:tcPr>
            <w:tcW w:type="dxa" w:w="6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Filter by: asset class, regime compatibility, Sharpe ratio min, drawdown max, author type (NEXXORE / community).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One-click deploy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User clicks Deploy → strategy loads into Strategy Builder with pre-configured parameters → user reviews and signs.</w:t>
            </w:r>
          </w:p>
        </w:tc>
      </w:tr>
      <w:tr>
        <w:tc>
          <w:tcPr>
            <w:tcW w:type="dxa" w:w="2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Community submission</w:t>
            </w:r>
          </w:p>
        </w:tc>
        <w:tc>
          <w:tcPr>
            <w:tcW w:type="dxa" w:w="6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Verified users (&gt;30 days active, wallet connected) can submit strategies. NEXXORE team curates before publication.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Flagship strategies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NEXXORE publishes 5 named strategies at launch: Macro Rotation, Escalation Hedge, Stablecoin Ladder, Options Surface Arb, Prediction Market Edge Pack.</w:t>
            </w:r>
          </w:p>
        </w:tc>
      </w:tr>
      <w:tr>
        <w:tc>
          <w:tcPr>
            <w:tcW w:type="dxa" w:w="24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Attribution</w:t>
            </w:r>
          </w:p>
        </w:tc>
        <w:tc>
          <w:tcPr>
            <w:tcW w:type="dxa" w:w="69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Deployed community strategies track originator. If others use and profit from a strategy, originator earns a % of performance fee.</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3.5  Tiered Pricing Architecture</w:t>
      </w:r>
    </w:p>
    <w:p>
      <w:pPr>
        <w:spacing w:after="120" w:before="80"/>
      </w:pPr>
      <w:r>
        <w:rPr>
          <w:rFonts w:ascii="Arial" w:cs="Arial" w:eastAsia="Arial" w:hAnsi="Arial"/>
          <w:b w:val="false"/>
          <w:bCs w:val="false"/>
          <w:color w:val="1A1A2E"/>
          <w:sz w:val="22"/>
          <w:szCs w:val="22"/>
        </w:rPr>
        <w:t xml:space="preserve">NEXXORE currently has no published pricing. This is both a trust signal problem (serious platforms have published pricing) and a monetisation gap. The tiered model below is designed around ICP willingness to pay.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360"/>
        <w:gridCol w:w="1600"/>
      </w:tblGrid>
      <w:tr>
        <w:trPr>
          <w:tblHeader/>
        </w:trPr>
        <w:tc>
          <w:tcPr>
            <w:tcW w:type="dxa" w:w="1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Tier</w:t>
            </w:r>
          </w:p>
        </w:tc>
        <w:tc>
          <w:tcPr>
            <w:tcW w:type="dxa" w:w="16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Monthly Price</w:t>
            </w:r>
          </w:p>
        </w:tc>
        <w:tc>
          <w:tcPr>
            <w:tcW w:type="dxa" w:w="43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Included</w:t>
            </w:r>
          </w:p>
        </w:tc>
        <w:tc>
          <w:tcPr>
            <w:tcW w:type="dxa" w:w="16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Key Upgrade Hook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Free / Explorer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Terminal (read-only), Stablecoin Hub rates, Prediction Agent &gt;= 12c edge alerts (3/day max)</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Hit 3-alert limit on day 1 in most active markets</w:t>
            </w:r>
          </w:p>
        </w:tc>
      </w:tr>
      <w:tr>
        <w:tc>
          <w:tcPr>
            <w:tcW w:type="dxa" w:w="1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Trader</w:t>
            </w:r>
          </w:p>
        </w:tc>
        <w:tc>
          <w:tcPr>
            <w:tcW w:type="dxa" w:w="16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$49/mo</w:t>
            </w:r>
          </w:p>
        </w:tc>
        <w:tc>
          <w:tcPr>
            <w:tcW w:type="dxa" w:w="4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Full Terminal, Strategy Builder (live only), Prediction Agent &gt;= 8c unlimited alerts, Vault access up to $50K</w:t>
            </w:r>
          </w:p>
        </w:tc>
        <w:tc>
          <w:tcPr>
            <w:tcW w:type="dxa" w:w="16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8c edge alerts — the 4c advantage over free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$149/mo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Everything in Trader + Strategy Builder backtesting, Macro Rotation Vault, custom alert thresholds, CSV exports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Backtesting and the flagship vault</w:t>
            </w:r>
          </w:p>
        </w:tc>
      </w:tr>
      <w:tr>
        <w:tc>
          <w:tcPr>
            <w:tcW w:type="dxa" w:w="1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Institutional</w:t>
            </w:r>
          </w:p>
        </w:tc>
        <w:tc>
          <w:tcPr>
            <w:tcW w:type="dxa" w:w="16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Custom ($500+/mo)</w:t>
            </w:r>
          </w:p>
        </w:tc>
        <w:tc>
          <w:tcPr>
            <w:tcW w:type="dxa" w:w="4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Everything in Pro + dedicated onboarding, monthly PDF reports, API access, custom vault parameters, priority support</w:t>
            </w:r>
          </w:p>
        </w:tc>
        <w:tc>
          <w:tcPr>
            <w:tcW w:type="dxa" w:w="16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API access + custom reporting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280"/>
              <w:left w:type="dxa" w:w="360"/>
              <w:bottom w:type="dxa" w:w="280"/>
              <w:right w:type="dxa" w:w="360"/>
            </w:tcMar>
          </w:tcPr>
          <w:p>
            <w:pPr>
              <w:jc w:val="left"/>
            </w:pPr>
            <w:r>
              <w:rPr>
                <w:rFonts w:ascii="Arial" w:cs="Arial" w:eastAsia="Arial" w:hAnsi="Arial"/>
                <w:b/>
                <w:bCs/>
                <w:color w:val="00D4FF"/>
                <w:sz w:val="18"/>
                <w:szCs w:val="18"/>
              </w:rPr>
              <w:t xml:space="preserve">SECTION 4</w:t>
            </w:r>
          </w:p>
          <w:p>
            <w:pPr>
              <w:jc w:val="left"/>
            </w:pPr>
            <w:r>
              <w:rPr>
                <w:rFonts w:ascii="Arial" w:cs="Arial" w:eastAsia="Arial" w:hAnsi="Arial"/>
                <w:b/>
                <w:bCs/>
                <w:color w:val="FFFFFF"/>
                <w:sz w:val="36"/>
                <w:szCs w:val="36"/>
              </w:rPr>
              <w:t xml:space="preserve">Technical &amp; Security Requirements</w:t>
            </w:r>
          </w:p>
          <w:p>
            <w:pPr>
              <w:jc w:val="left"/>
            </w:pPr>
            <w:r>
              <w:rPr>
                <w:rFonts w:ascii="Arial" w:cs="Arial" w:eastAsia="Arial" w:hAnsi="Arial"/>
                <w:color w:val="9BB5D0"/>
                <w:sz w:val="22"/>
                <w:szCs w:val="22"/>
              </w:rPr>
              <w:t xml:space="preserve">Performance targets, SLAs, and non-negotiable security standards</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4.1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Metric</w:t>
            </w:r>
          </w:p>
        </w:tc>
        <w:tc>
          <w:tcPr>
            <w:tcW w:type="dxa" w:w="16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Target</w:t>
            </w:r>
          </w:p>
        </w:tc>
        <w:tc>
          <w:tcPr>
            <w:tcW w:type="dxa" w:w="1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Critical Threshold</w:t>
            </w:r>
          </w:p>
        </w:tc>
        <w:tc>
          <w:tcPr>
            <w:tcW w:type="dxa" w:w="31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Measurement Method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Terminal data latency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&lt; 200ms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&lt; 500ms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P95 latency via Datadog APM</w:t>
            </w:r>
          </w:p>
        </w:tc>
      </w:tr>
      <w:tr>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API response time (P99)</w:t>
            </w:r>
          </w:p>
        </w:tc>
        <w:tc>
          <w:tcPr>
            <w:tcW w:type="dxa" w:w="16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&lt; 300ms</w:t>
            </w:r>
          </w:p>
        </w:tc>
        <w:tc>
          <w:tcPr>
            <w:tcW w:type="dxa" w:w="1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&lt; 1000ms</w:t>
            </w:r>
          </w:p>
        </w:tc>
        <w:tc>
          <w:tcPr>
            <w:tcW w:type="dxa" w:w="31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Backend APM trace sampling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Vault transaction confirmation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&lt; 30s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&lt; 60s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On-chain timestamp vs user click</w:t>
            </w:r>
          </w:p>
        </w:tc>
      </w:tr>
      <w:tr>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Prediction Agent scan cycle</w:t>
            </w:r>
          </w:p>
        </w:tc>
        <w:tc>
          <w:tcPr>
            <w:tcW w:type="dxa" w:w="16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&lt; 5 minutes per full scan</w:t>
            </w:r>
          </w:p>
        </w:tc>
        <w:tc>
          <w:tcPr>
            <w:tcW w:type="dxa" w:w="1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&lt; 15 minutes</w:t>
            </w:r>
          </w:p>
        </w:tc>
        <w:tc>
          <w:tcPr>
            <w:tcW w:type="dxa" w:w="31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Scan completion timestamp log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Telegram alert delivery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&lt; 30s from signal detection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&lt; 120s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Signal timestamp vs Telegram delivery timestamp</w:t>
            </w:r>
          </w:p>
        </w:tc>
      </w:tr>
      <w:tr>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Track record page load</w:t>
            </w:r>
          </w:p>
        </w:tc>
        <w:tc>
          <w:tcPr>
            <w:tcW w:type="dxa" w:w="16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&lt; 1.5s (LCP)</w:t>
            </w:r>
          </w:p>
        </w:tc>
        <w:tc>
          <w:tcPr>
            <w:tcW w:type="dxa" w:w="1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&lt; 3s</w:t>
            </w:r>
          </w:p>
        </w:tc>
        <w:tc>
          <w:tcPr>
            <w:tcW w:type="dxa" w:w="31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Core Web Vitals via Vercel Analytics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System uptime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99.9% monthly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99.5%</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Uptime monitoring via Better Uptime</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4.2  Smart Contract Security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F" w:val="clear"/>
            <w:tcMar>
              <w:top w:type="dxa" w:w="160"/>
              <w:left w:type="dxa" w:w="240"/>
              <w:bottom w:type="dxa" w:w="160"/>
              <w:right w:type="dxa" w:w="240"/>
            </w:tcMar>
          </w:tcPr>
          <w:p>
            <w:r>
              <w:rPr>
                <w:rFonts w:ascii="Arial" w:cs="Arial" w:eastAsia="Arial" w:hAnsi="Arial"/>
                <w:b/>
                <w:bCs/>
                <w:color w:val="7B2FFF"/>
                <w:sz w:val="22"/>
                <w:szCs w:val="22"/>
              </w:rPr>
              <w:t xml:space="preserve">NON-NEGOTIABLE</w:t>
            </w:r>
          </w:p>
          <w:p>
            <w:r>
              <w:rPr>
                <w:rFonts w:ascii="Arial" w:cs="Arial" w:eastAsia="Arial" w:hAnsi="Arial"/>
                <w:color w:val="1A1A2E"/>
                <w:sz w:val="22"/>
                <w:szCs w:val="22"/>
              </w:rPr>
              <w:t xml:space="preserve">No vault may hold user funds exceeding $100,000 without a completed audit from a Tier-1 firm (Certik, Trail of Bits, OpenZeppelin, Halborn, or equivalent). This is a hard stop — not a recommendation.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c>
          <w:tcPr>
            <w:tcW w:type="dxa" w:w="2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Standard</w:t>
            </w:r>
          </w:p>
        </w:tc>
        <w:tc>
          <w:tcPr>
            <w:tcW w:type="dxa" w:w="35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Vault contract audit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Mandatory before $100K TVL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Certik, Trail of Bits, OpenZeppelin, or Halborn</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ERC-4626 compliance</w:t>
            </w:r>
          </w:p>
        </w:tc>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Full standard compliance</w:t>
            </w:r>
          </w:p>
        </w:tc>
        <w:tc>
          <w:tcPr>
            <w:tcW w:type="dxa" w:w="3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Verified via ERC-4626 test suite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Reentrancy protection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OpenZeppelin ReentrancyGuard on all state-changing functions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 exceptions</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Access control</w:t>
            </w:r>
          </w:p>
        </w:tc>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OpenZeppelin AccessControl with ADMIN, GUARDIAN, OPERATOR roles</w:t>
            </w:r>
          </w:p>
        </w:tc>
        <w:tc>
          <w:tcPr>
            <w:tcW w:type="dxa" w:w="3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ADMIN = multisig only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Upgrade pattern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UUPS upgradeable proxy with 48-hour timelock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 unilateral upgrades</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Emergency pause</w:t>
            </w:r>
          </w:p>
        </w:tc>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Pausable on all vault operations</w:t>
            </w:r>
          </w:p>
        </w:tc>
        <w:tc>
          <w:tcPr>
            <w:tcW w:type="dxa" w:w="3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Guardian multisig can pause; unpause requires 24-hour delay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Oracle security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Chainlink price feeds with staleness check (&lt; 1 hour)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Reject stale prices; fallback to TWAP</w:t>
            </w:r>
          </w:p>
        </w:tc>
      </w:tr>
      <w:tr>
        <w:tc>
          <w:tcPr>
            <w:tcW w:type="dxa" w:w="3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Slippage protection</w:t>
            </w:r>
          </w:p>
        </w:tc>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Max 1% slippage on all DEX swaps within vaults</w:t>
            </w:r>
          </w:p>
        </w:tc>
        <w:tc>
          <w:tcPr>
            <w:tcW w:type="dxa" w:w="3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Configurable per strategy; hard cap at 3%</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4.3  Infrastructure &amp; SLA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Component</w:t>
            </w:r>
          </w:p>
        </w:tc>
        <w:tc>
          <w:tcPr>
            <w:tcW w:type="dxa" w:w="2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Stack Recommendation</w:t>
            </w:r>
          </w:p>
        </w:tc>
        <w:tc>
          <w:tcPr>
            <w:tcW w:type="dxa" w:w="45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Frontend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Next.js 14 + Vercel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SSR for track record pages (SEO). ISR for leaderboard. Client-side for live terminal.</w:t>
            </w:r>
          </w:p>
        </w:tc>
      </w:tr>
      <w:tr>
        <w:tc>
          <w:tcPr>
            <w:tcW w:type="dxa" w:w="2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Backend API</w:t>
            </w:r>
          </w:p>
        </w:tc>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Node.js + Fastify or Python + FastAPI</w:t>
            </w:r>
          </w:p>
        </w:tc>
        <w:tc>
          <w:tcPr>
            <w:tcW w:type="dxa" w:w="4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REST + WebSocket. Horizontal scaling via containerisation.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Database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PostgreSQL (primary) + Redis (cache)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Signal history in Postgres. Live market data cached in Redis with 30s TTL.</w:t>
            </w:r>
          </w:p>
        </w:tc>
      </w:tr>
      <w:tr>
        <w:tc>
          <w:tcPr>
            <w:tcW w:type="dxa" w:w="2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Smart contracts</w:t>
            </w:r>
          </w:p>
        </w:tc>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Solidity 0.8.x + Foundry/Hardhat</w:t>
            </w:r>
          </w:p>
        </w:tc>
        <w:tc>
          <w:tcPr>
            <w:tcW w:type="dxa" w:w="4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Foundry for testing (&gt;90% coverage required). Hardhat for deployment scripts.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Data pipeline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Apache Kafka or AWS Kinesis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52 live streams require event streaming. No polling.</w:t>
            </w:r>
          </w:p>
        </w:tc>
      </w:tr>
      <w:tr>
        <w:tc>
          <w:tcPr>
            <w:tcW w:type="dxa" w:w="2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Monitoring</w:t>
            </w:r>
          </w:p>
        </w:tc>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Datadog + Sentry</w:t>
            </w:r>
          </w:p>
        </w:tc>
        <w:tc>
          <w:tcPr>
            <w:tcW w:type="dxa" w:w="4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APM on API. Error tracking on frontend and backend. Alert on P99 breach.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Secrets management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HashiCorp Vault or AWS Secrets Manager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 secrets in environment variables in production. Rotate every 90 days.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280"/>
              <w:left w:type="dxa" w:w="360"/>
              <w:bottom w:type="dxa" w:w="280"/>
              <w:right w:type="dxa" w:w="360"/>
            </w:tcMar>
          </w:tcPr>
          <w:p>
            <w:pPr>
              <w:jc w:val="left"/>
            </w:pPr>
            <w:r>
              <w:rPr>
                <w:rFonts w:ascii="Arial" w:cs="Arial" w:eastAsia="Arial" w:hAnsi="Arial"/>
                <w:b/>
                <w:bCs/>
                <w:color w:val="00D4FF"/>
                <w:sz w:val="18"/>
                <w:szCs w:val="18"/>
              </w:rPr>
              <w:t xml:space="preserve">SECTION 5</w:t>
            </w:r>
          </w:p>
          <w:p>
            <w:pPr>
              <w:jc w:val="left"/>
            </w:pPr>
            <w:r>
              <w:rPr>
                <w:rFonts w:ascii="Arial" w:cs="Arial" w:eastAsia="Arial" w:hAnsi="Arial"/>
                <w:b/>
                <w:bCs/>
                <w:color w:val="FFFFFF"/>
                <w:sz w:val="36"/>
                <w:szCs w:val="36"/>
              </w:rPr>
              <w:t xml:space="preserve">Developer Prompt 1</w:t>
            </w:r>
          </w:p>
          <w:p>
            <w:pPr>
              <w:jc w:val="left"/>
            </w:pPr>
            <w:r>
              <w:rPr>
                <w:rFonts w:ascii="Arial" w:cs="Arial" w:eastAsia="Arial" w:hAnsi="Arial"/>
                <w:color w:val="9BB5D0"/>
                <w:sz w:val="22"/>
                <w:szCs w:val="22"/>
              </w:rPr>
              <w:t xml:space="preserve">Wallet infrastructure, ERC-4626 vaults, frontend deposit flows, alert persistence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60"/>
              <w:left w:type="dxa" w:w="240"/>
              <w:bottom w:type="dxa" w:w="160"/>
              <w:right w:type="dxa" w:w="240"/>
            </w:tcMar>
          </w:tcPr>
          <w:p>
            <w:r>
              <w:rPr>
                <w:rFonts w:ascii="Arial" w:cs="Arial" w:eastAsia="Arial" w:hAnsi="Arial"/>
                <w:b/>
                <w:bCs/>
                <w:color w:val="7B2FFF"/>
                <w:sz w:val="22"/>
                <w:szCs w:val="22"/>
              </w:rPr>
              <w:t xml:space="preserve">How to use this prompt</w:t>
            </w:r>
          </w:p>
          <w:p>
            <w:r>
              <w:rPr>
                <w:rFonts w:ascii="Arial" w:cs="Arial" w:eastAsia="Arial" w:hAnsi="Arial"/>
                <w:color w:val="1A1A2E"/>
                <w:sz w:val="22"/>
                <w:szCs w:val="22"/>
              </w:rPr>
              <w:t xml:space="preserve">Copy everything in the grey box below and paste it as the first message to your developer. It is self-contained: includes context, tech stack, acceptance criteria, and deliverable format. Estimated scope: 3–5 weeks for a skilled junior developer.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0D4FF" w:sz="8"/>
              <w:bottom w:val="single" w:color="CBD5E1" w:sz="1"/>
              <w:right w:val="single" w:color="CBD5E1" w:sz="1"/>
            </w:tcBorders>
            <w:shd w:fill="F8FAFF" w:val="clear"/>
            <w:tcMar>
              <w:top w:type="dxa" w:w="240"/>
              <w:left w:type="dxa" w:w="320"/>
              <w:bottom w:type="dxa" w:w="240"/>
              <w:right w:type="dxa" w:w="240"/>
            </w:tcMar>
          </w:tcPr>
          <w:p>
            <w:pPr>
              <w:spacing w:after="160"/>
            </w:pPr>
            <w:r>
              <w:rPr>
                <w:rFonts w:ascii="Courier New" w:cs="Courier New" w:eastAsia="Courier New" w:hAnsi="Courier New"/>
                <w:b/>
                <w:bCs/>
                <w:color w:val="0A0F1E"/>
                <w:sz w:val="20"/>
                <w:szCs w:val="20"/>
              </w:rPr>
              <w:t xml:space="preserve">DEVELOPER PROMPT 1 — Copy and paste this in full</w:t>
            </w:r>
          </w:p>
          <w:p>
            <w:pPr>
              <w:spacing w:after="120"/>
            </w:pPr>
            <w:r>
              <w:rPr>
                <w:rFonts w:ascii="Courier New" w:cs="Courier New" w:eastAsia="Courier New" w:hAnsi="Courier New"/>
                <w:b/>
                <w:bCs/>
                <w:color w:val="7B2FFF"/>
                <w:sz w:val="20"/>
                <w:szCs w:val="20"/>
              </w:rPr>
              <w:t xml:space="preserve">=== PROJECT CONTEXT ===</w:t>
            </w:r>
          </w:p>
          <w:p>
            <w:pPr>
              <w:spacing w:after="80"/>
            </w:pPr>
            <w:r>
              <w:rPr>
                <w:rFonts w:ascii="Courier New" w:cs="Courier New" w:eastAsia="Courier New" w:hAnsi="Courier New"/>
                <w:color w:val="1A1A2E"/>
                <w:sz w:val="18"/>
                <w:szCs w:val="18"/>
              </w:rPr>
              <w:t xml:space="preserve">You are building on top of NEXXORE — an agentic DeFi execution platform with five live products: Trading Terminal, Strategy Builder, Prediction Agent, Stablecoin Hub, and Vaults. The platform runs across Ethereum, Arbitrum, Base, and Solana. The frontend is Next.js. Smart contracts are Solidity 0.8.x.</w:t>
            </w:r>
          </w:p>
          <w:p>
            <w:pPr>
              <w:spacing w:after="80"/>
            </w:pPr>
            <w:r>
              <w:rPr>
                <w:rFonts w:ascii="Courier New" w:cs="Courier New" w:eastAsia="Courier New" w:hAnsi="Courier New"/>
                <w:color w:val="1A1A2E"/>
                <w:sz w:val="18"/>
                <w:szCs w:val="18"/>
              </w:rPr>
              <w:t xml:space="preserve">Your task is to build three interconnected systems: (A) Wallet infrastructure, (B) ERC-4626 vault smart contracts, and (C) the alert persistence backend.</w:t>
            </w:r>
          </w:p>
          <w:p>
            <w:pPr>
              <w:spacing w:after="120"/>
            </w:pPr>
            <w:r>
              <w:rPr>
                <w:rFonts w:ascii="Courier New" w:cs="Courier New" w:eastAsia="Courier New" w:hAnsi="Courier New"/>
                <w:b/>
                <w:bCs/>
                <w:color w:val="7B2FFF"/>
                <w:sz w:val="20"/>
                <w:szCs w:val="20"/>
              </w:rPr>
              <w:t xml:space="preserve">=== DELIVERABLE A: WALLET INFRASTRUCTURE ===</w:t>
            </w:r>
          </w:p>
          <w:p>
            <w:pPr>
              <w:spacing w:after="80"/>
            </w:pPr>
            <w:r>
              <w:rPr>
                <w:rFonts w:ascii="Courier New" w:cs="Courier New" w:eastAsia="Courier New" w:hAnsi="Courier New"/>
                <w:color w:val="1A1A2E"/>
                <w:sz w:val="18"/>
                <w:szCs w:val="18"/>
              </w:rPr>
              <w:t xml:space="preserve">Tech: WalletConnect v2 (wagmi + viem), Privy for email/social embedded wallets. Target chains: Ethereum mainnet, Arbitrum One, Base, Solana (via Phantom).</w:t>
            </w:r>
          </w:p>
          <w:p>
            <w:pPr>
              <w:spacing w:after="60"/>
            </w:pPr>
            <w:r>
              <w:rPr>
                <w:rFonts w:ascii="Courier New" w:cs="Courier New" w:eastAsia="Courier New" w:hAnsi="Courier New"/>
                <w:b/>
                <w:bCs/>
                <w:color w:val="0A0F1E"/>
                <w:sz w:val="18"/>
                <w:szCs w:val="18"/>
              </w:rPr>
              <w:t xml:space="preserve">Requirements:</w:t>
            </w:r>
          </w:p>
          <w:p>
            <w:pPr>
              <w:spacing w:after="40"/>
            </w:pPr>
            <w:r>
              <w:rPr>
                <w:rFonts w:ascii="Courier New" w:cs="Courier New" w:eastAsia="Courier New" w:hAnsi="Courier New"/>
                <w:color w:val="1A1A2E"/>
                <w:sz w:val="18"/>
                <w:szCs w:val="18"/>
              </w:rPr>
              <w:t xml:space="preserve">1. WalletConnect modal that supports MetaMask, Coinbase Wallet, Rainbow, and Phantom.</w:t>
            </w:r>
          </w:p>
          <w:p>
            <w:pPr>
              <w:spacing w:after="40"/>
            </w:pPr>
            <w:r>
              <w:rPr>
                <w:rFonts w:ascii="Courier New" w:cs="Courier New" w:eastAsia="Courier New" w:hAnsi="Courier New"/>
                <w:color w:val="1A1A2E"/>
                <w:sz w:val="18"/>
                <w:szCs w:val="18"/>
              </w:rPr>
              <w:t xml:space="preserve">2. Privy integration for email/social login — creates a non-custodial embedded EVM wallet. Users must be shown the key backup flow on first login.</w:t>
            </w:r>
          </w:p>
          <w:p>
            <w:pPr>
              <w:spacing w:after="40"/>
            </w:pPr>
            <w:r>
              <w:rPr>
                <w:rFonts w:ascii="Courier New" w:cs="Courier New" w:eastAsia="Courier New" w:hAnsi="Courier New"/>
                <w:color w:val="1A1A2E"/>
                <w:sz w:val="18"/>
                <w:szCs w:val="18"/>
              </w:rPr>
              <w:t xml:space="preserve">3. Multi-chain wallet state: display balances across ETH, ARB, Base simultaneously in a unified wallet panel.</w:t>
            </w:r>
          </w:p>
          <w:p>
            <w:pPr>
              <w:spacing w:after="40"/>
            </w:pPr>
            <w:r>
              <w:rPr>
                <w:rFonts w:ascii="Courier New" w:cs="Courier New" w:eastAsia="Courier New" w:hAnsi="Courier New"/>
                <w:color w:val="1A1A2E"/>
                <w:sz w:val="18"/>
                <w:szCs w:val="18"/>
              </w:rPr>
              <w:t xml:space="preserve">4. Session management: JWT with 24-hour expiry. Store in httpOnly cookie. Re-authentication required for any withdrawal operation.</w:t>
            </w:r>
          </w:p>
          <w:p>
            <w:pPr>
              <w:spacing w:after="40"/>
            </w:pPr>
            <w:r>
              <w:rPr>
                <w:rFonts w:ascii="Courier New" w:cs="Courier New" w:eastAsia="Courier New" w:hAnsi="Courier New"/>
                <w:color w:val="1A1A2E"/>
                <w:sz w:val="18"/>
                <w:szCs w:val="18"/>
              </w:rPr>
              <w:t xml:space="preserve">5. Disconnect flow: wipes all personal data from client state. Server-side data purge on request (GDPR path).</w:t>
            </w:r>
          </w:p>
          <w:p>
            <w:pPr>
              <w:spacing w:after="80"/>
            </w:pPr>
            <w:r>
              <w:rPr>
                <w:rFonts w:ascii="Courier New" w:cs="Courier New" w:eastAsia="Courier New" w:hAnsi="Courier New"/>
                <w:color w:val="00C896"/>
                <w:sz w:val="18"/>
                <w:szCs w:val="18"/>
              </w:rPr>
              <w:t xml:space="preserve">Acceptance criteria: User can connect, switch networks, see unified balance, disconnect, and reconnect. All fund movements require explicit wallet signature. No private key ever touches NEXXORE servers.</w:t>
            </w:r>
          </w:p>
          <w:p>
            <w:pPr>
              <w:spacing w:after="120"/>
            </w:pPr>
            <w:r>
              <w:rPr>
                <w:rFonts w:ascii="Courier New" w:cs="Courier New" w:eastAsia="Courier New" w:hAnsi="Courier New"/>
                <w:b/>
                <w:bCs/>
                <w:color w:val="7B2FFF"/>
                <w:sz w:val="20"/>
                <w:szCs w:val="20"/>
              </w:rPr>
              <w:t xml:space="preserve">=== DELIVERABLE B: ERC-4626 VAULT CONTRACTS ===</w:t>
            </w:r>
          </w:p>
          <w:p>
            <w:pPr>
              <w:spacing w:after="80"/>
            </w:pPr>
            <w:r>
              <w:rPr>
                <w:rFonts w:ascii="Courier New" w:cs="Courier New" w:eastAsia="Courier New" w:hAnsi="Courier New"/>
                <w:color w:val="1A1A2E"/>
                <w:sz w:val="18"/>
                <w:szCs w:val="18"/>
              </w:rPr>
              <w:t xml:space="preserve">Tech: Solidity 0.8.x, OpenZeppelin v5, Foundry for tests. Deploy to Arbitrum One initially. Use UUPS upgradeable proxy pattern.</w:t>
            </w:r>
          </w:p>
          <w:p>
            <w:pPr>
              <w:spacing w:after="60"/>
            </w:pPr>
            <w:r>
              <w:rPr>
                <w:rFonts w:ascii="Courier New" w:cs="Courier New" w:eastAsia="Courier New" w:hAnsi="Courier New"/>
                <w:b/>
                <w:bCs/>
                <w:color w:val="0A0F1E"/>
                <w:sz w:val="18"/>
                <w:szCs w:val="18"/>
              </w:rPr>
              <w:t xml:space="preserve">Contract architecture:</w:t>
            </w:r>
          </w:p>
          <w:p>
            <w:pPr>
              <w:spacing w:after="40"/>
            </w:pPr>
            <w:r>
              <w:rPr>
                <w:rFonts w:ascii="Courier New" w:cs="Courier New" w:eastAsia="Courier New" w:hAnsi="Courier New"/>
                <w:color w:val="1A1A2E"/>
                <w:sz w:val="18"/>
                <w:szCs w:val="18"/>
              </w:rPr>
              <w:t xml:space="preserve">1. NEXXOREVault.sol — ERC-4626 compliant. Inherits OpenZeppelin ERC4626, AccessControl, Pausable, ReentrancyGuard, UUPSUpgradeable.</w:t>
            </w:r>
          </w:p>
          <w:p>
            <w:pPr>
              <w:spacing w:after="40"/>
            </w:pPr>
            <w:r>
              <w:rPr>
                <w:rFonts w:ascii="Courier New" w:cs="Courier New" w:eastAsia="Courier New" w:hAnsi="Courier New"/>
                <w:color w:val="1A1A2E"/>
                <w:sz w:val="18"/>
                <w:szCs w:val="18"/>
              </w:rPr>
              <w:t xml:space="preserve">2. Roles: ADMIN_ROLE (multisig only), GUARDIAN_ROLE (can pause/unpause), OPERATOR_ROLE (can execute strategy rebalances).</w:t>
            </w:r>
          </w:p>
          <w:p>
            <w:pPr>
              <w:spacing w:after="40"/>
            </w:pPr>
            <w:r>
              <w:rPr>
                <w:rFonts w:ascii="Courier New" w:cs="Courier New" w:eastAsia="Courier New" w:hAnsi="Courier New"/>
                <w:color w:val="1A1A2E"/>
                <w:sz w:val="18"/>
                <w:szCs w:val="18"/>
              </w:rPr>
              <w:t xml:space="preserve">3. Circuit breaker: if vault NAV drops &gt; 15% from high-water mark in any 24-hour window, automatically pause deposits and withdrawals. Emit CircuitBreakerTripped(uint256 drawdown, uint256 timestamp) event.</w:t>
            </w:r>
          </w:p>
          <w:p>
            <w:pPr>
              <w:spacing w:after="40"/>
            </w:pPr>
            <w:r>
              <w:rPr>
                <w:rFonts w:ascii="Courier New" w:cs="Courier New" w:eastAsia="Courier New" w:hAnsi="Courier New"/>
                <w:color w:val="1A1A2E"/>
                <w:sz w:val="18"/>
                <w:szCs w:val="18"/>
              </w:rPr>
              <w:t xml:space="preserve">4. Withdrawal queue: max 10% of TVL can be redeemed per 24-hour window. Excess queued and processed FIFO. Users can cancel queued withdrawals.</w:t>
            </w:r>
          </w:p>
          <w:p>
            <w:pPr>
              <w:spacing w:after="40"/>
            </w:pPr>
            <w:r>
              <w:rPr>
                <w:rFonts w:ascii="Courier New" w:cs="Courier New" w:eastAsia="Courier New" w:hAnsi="Courier New"/>
                <w:color w:val="1A1A2E"/>
                <w:sz w:val="18"/>
                <w:szCs w:val="18"/>
              </w:rPr>
              <w:t xml:space="preserve">5. Timelock: all strategy parameter changes subject to 48-hour timelock via TimelockController. No immediate parameter changes possible.</w:t>
            </w:r>
          </w:p>
          <w:p>
            <w:pPr>
              <w:spacing w:after="40"/>
            </w:pPr>
            <w:r>
              <w:rPr>
                <w:rFonts w:ascii="Courier New" w:cs="Courier New" w:eastAsia="Courier New" w:hAnsi="Courier New"/>
                <w:color w:val="1A1A2E"/>
                <w:sz w:val="18"/>
                <w:szCs w:val="18"/>
              </w:rPr>
              <w:t xml:space="preserve">6. Performance fee: 15% of profits above high-water mark. Fee accrues to fee recipient address (multisig). High-water mark updated on each fee collection.</w:t>
            </w:r>
          </w:p>
          <w:p>
            <w:pPr>
              <w:spacing w:after="40"/>
            </w:pPr>
            <w:r>
              <w:rPr>
                <w:rFonts w:ascii="Courier New" w:cs="Courier New" w:eastAsia="Courier New" w:hAnsi="Courier New"/>
                <w:color w:val="1A1A2E"/>
                <w:sz w:val="18"/>
                <w:szCs w:val="18"/>
              </w:rPr>
              <w:t xml:space="preserve">7. Oracle: Chainlink USDC/USD price feed with staleness check (reject if &gt; 3600 seconds since last update). Fallback to Uniswap V3 TWAP (30-minute window) if Chainlink stale.</w:t>
            </w:r>
          </w:p>
          <w:p>
            <w:pPr>
              <w:spacing w:after="80"/>
            </w:pPr>
            <w:r>
              <w:rPr>
                <w:rFonts w:ascii="Courier New" w:cs="Courier New" w:eastAsia="Courier New" w:hAnsi="Courier New"/>
                <w:color w:val="1A1A2E"/>
                <w:sz w:val="18"/>
                <w:szCs w:val="18"/>
              </w:rPr>
              <w:t xml:space="preserve">Test requirements: Foundry test suite with &gt;= 90% line coverage. Include fuzz tests for deposit/withdraw arithmetic, invariant tests for TVL accounting, fork tests on Arbitrum mainnet.</w:t>
            </w:r>
          </w:p>
          <w:p>
            <w:pPr>
              <w:spacing w:after="80"/>
            </w:pPr>
            <w:r>
              <w:rPr>
                <w:rFonts w:ascii="Courier New" w:cs="Courier New" w:eastAsia="Courier New" w:hAnsi="Courier New"/>
                <w:color w:val="00C896"/>
                <w:sz w:val="18"/>
                <w:szCs w:val="18"/>
              </w:rPr>
              <w:t xml:space="preserve">Acceptance criteria: All Foundry tests pass. Slither static analysis returns zero high/critical issues. Vault deployed to Arbitrum Sepolia testnet with working deposit/withdraw flows verified via frontend.</w:t>
            </w:r>
          </w:p>
          <w:p>
            <w:pPr>
              <w:spacing w:after="120"/>
            </w:pPr>
            <w:r>
              <w:rPr>
                <w:rFonts w:ascii="Courier New" w:cs="Courier New" w:eastAsia="Courier New" w:hAnsi="Courier New"/>
                <w:b/>
                <w:bCs/>
                <w:color w:val="7B2FFF"/>
                <w:sz w:val="20"/>
                <w:szCs w:val="20"/>
              </w:rPr>
              <w:t xml:space="preserve">=== DELIVERABLE C: VAULT FRONTEND + ALERT PERSISTENCE ===</w:t>
            </w:r>
          </w:p>
          <w:p>
            <w:pPr>
              <w:spacing w:after="80"/>
            </w:pPr>
            <w:r>
              <w:rPr>
                <w:rFonts w:ascii="Courier New" w:cs="Courier New" w:eastAsia="Courier New" w:hAnsi="Courier New"/>
                <w:color w:val="1A1A2E"/>
                <w:sz w:val="18"/>
                <w:szCs w:val="18"/>
              </w:rPr>
              <w:t xml:space="preserve">Tech: Next.js 14, wagmi v2, viem, TanStack Query, PostgreSQL + Drizzle ORM, Redis.</w:t>
            </w:r>
          </w:p>
          <w:p>
            <w:pPr>
              <w:spacing w:after="40"/>
            </w:pPr>
            <w:r>
              <w:rPr>
                <w:rFonts w:ascii="Courier New" w:cs="Courier New" w:eastAsia="Courier New" w:hAnsi="Courier New"/>
                <w:b/>
                <w:bCs/>
                <w:color w:val="0A0F1E"/>
                <w:sz w:val="18"/>
                <w:szCs w:val="18"/>
              </w:rPr>
              <w:t xml:space="preserve">Vault frontend (/vaults page):</w:t>
            </w:r>
          </w:p>
          <w:p>
            <w:pPr>
              <w:spacing w:after="40"/>
            </w:pPr>
            <w:r>
              <w:rPr>
                <w:rFonts w:ascii="Courier New" w:cs="Courier New" w:eastAsia="Courier New" w:hAnsi="Courier New"/>
                <w:color w:val="1A1A2E"/>
                <w:sz w:val="18"/>
                <w:szCs w:val="18"/>
              </w:rPr>
              <w:t xml:space="preserve">- Vault card: name, strategy description, current APY, TVL, max drawdown, CVaR score, user's deposited balance.</w:t>
            </w:r>
          </w:p>
          <w:p>
            <w:pPr>
              <w:spacing w:after="40"/>
            </w:pPr>
            <w:r>
              <w:rPr>
                <w:rFonts w:ascii="Courier New" w:cs="Courier New" w:eastAsia="Courier New" w:hAnsi="Courier New"/>
                <w:color w:val="1A1A2E"/>
                <w:sz w:val="18"/>
                <w:szCs w:val="18"/>
              </w:rPr>
              <w:t xml:space="preserve">- Deposit modal: input amount, gas estimate, slippage setting, sign button. Confirmation shows shares received.</w:t>
            </w:r>
          </w:p>
          <w:p>
            <w:pPr>
              <w:spacing w:after="40"/>
            </w:pPr>
            <w:r>
              <w:rPr>
                <w:rFonts w:ascii="Courier New" w:cs="Courier New" w:eastAsia="Courier New" w:hAnsi="Courier New"/>
                <w:color w:val="1A1A2E"/>
                <w:sz w:val="18"/>
                <w:szCs w:val="18"/>
              </w:rPr>
              <w:t xml:space="preserve">- Withdraw modal: input shares or USD amount, shows current NAV, queue status if withdrawal queued, estimated settlement time.</w:t>
            </w:r>
          </w:p>
          <w:p>
            <w:pPr>
              <w:spacing w:after="40"/>
            </w:pPr>
            <w:r>
              <w:rPr>
                <w:rFonts w:ascii="Courier New" w:cs="Courier New" w:eastAsia="Courier New" w:hAnsi="Courier New"/>
                <w:color w:val="1A1A2E"/>
                <w:sz w:val="18"/>
                <w:szCs w:val="18"/>
              </w:rPr>
              <w:t xml:space="preserve">- Transaction history: paginated log of all user deposits/withdrawals with on-chain tx links.</w:t>
            </w:r>
          </w:p>
          <w:p>
            <w:pPr>
              <w:spacing w:after="40"/>
            </w:pPr>
            <w:r>
              <w:rPr>
                <w:rFonts w:ascii="Courier New" w:cs="Courier New" w:eastAsia="Courier New" w:hAnsi="Courier New"/>
                <w:b/>
                <w:bCs/>
                <w:color w:val="0A0F1E"/>
                <w:sz w:val="18"/>
                <w:szCs w:val="18"/>
              </w:rPr>
              <w:t xml:space="preserve">Alert persistence backend:</w:t>
            </w:r>
          </w:p>
          <w:p>
            <w:pPr>
              <w:spacing w:after="40"/>
            </w:pPr>
            <w:r>
              <w:rPr>
                <w:rFonts w:ascii="Courier New" w:cs="Courier New" w:eastAsia="Courier New" w:hAnsi="Courier New"/>
                <w:color w:val="1A1A2E"/>
                <w:sz w:val="18"/>
                <w:szCs w:val="18"/>
              </w:rPr>
              <w:t xml:space="preserve">- PostgreSQL table: alerts(id, market_url, market_name, edge_score, confidence, flagged_at, resolved_at, outcome, pnl_bps). Index on flagged_at DESC.</w:t>
            </w:r>
          </w:p>
          <w:p>
            <w:pPr>
              <w:spacing w:after="40"/>
            </w:pPr>
            <w:r>
              <w:rPr>
                <w:rFonts w:ascii="Courier New" w:cs="Courier New" w:eastAsia="Courier New" w:hAnsi="Courier New"/>
                <w:color w:val="1A1A2E"/>
                <w:sz w:val="18"/>
                <w:szCs w:val="18"/>
              </w:rPr>
              <w:t xml:space="preserve">- Resolution worker: cron job every 15 minutes that queries Polymarket and Manifold APIs for resolution status of all open flagged markets. Updates outcome and pnl_bps.</w:t>
            </w:r>
          </w:p>
          <w:p>
            <w:pPr>
              <w:spacing w:after="40"/>
            </w:pPr>
            <w:r>
              <w:rPr>
                <w:rFonts w:ascii="Courier New" w:cs="Courier New" w:eastAsia="Courier New" w:hAnsi="Courier New"/>
                <w:color w:val="1A1A2E"/>
                <w:sz w:val="18"/>
                <w:szCs w:val="18"/>
              </w:rPr>
              <w:t xml:space="preserve">- Public API endpoint: GET /api/track-record returns aggregate stats + paginated signal log. Rate limited to 60 req/min per IP.</w:t>
            </w:r>
          </w:p>
          <w:p>
            <w:pPr>
              <w:spacing w:after="80"/>
            </w:pPr>
            <w:r>
              <w:rPr>
                <w:rFonts w:ascii="Courier New" w:cs="Courier New" w:eastAsia="Courier New" w:hAnsi="Courier New"/>
                <w:color w:val="00C896"/>
                <w:sz w:val="18"/>
                <w:szCs w:val="18"/>
              </w:rPr>
              <w:t xml:space="preserve">Acceptance criteria: Vault page renders with real contract data. Deposit flow works end-to-end on testnet. Alert table persists across deploys. Resolution worker updates at least 95% of resolved markets within 30 minutes.</w:t>
            </w:r>
          </w:p>
          <w:p>
            <w:pPr>
              <w:spacing w:after="80"/>
            </w:pPr>
            <w:r>
              <w:rPr>
                <w:rFonts w:ascii="Courier New" w:cs="Courier New" w:eastAsia="Courier New" w:hAnsi="Courier New"/>
                <w:b/>
                <w:bCs/>
                <w:color w:val="7B2FFF"/>
                <w:sz w:val="20"/>
                <w:szCs w:val="20"/>
              </w:rPr>
              <w:t xml:space="preserve">=== DELIVERABLE FORMAT ===</w:t>
            </w:r>
          </w:p>
          <w:p>
            <w:pPr>
              <w:spacing w:after="40"/>
            </w:pPr>
            <w:r>
              <w:rPr>
                <w:rFonts w:ascii="Courier New" w:cs="Courier New" w:eastAsia="Courier New" w:hAnsi="Courier New"/>
                <w:color w:val="1A1A2E"/>
                <w:sz w:val="18"/>
                <w:szCs w:val="18"/>
              </w:rPr>
              <w:t xml:space="preserve">Deliver: GitHub PR per deliverable. Each PR includes: README section with architecture decisions, test output screenshot, Loom walkthrough (&lt; 5 minutes). Deploy to staging before requesting review.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280"/>
              <w:left w:type="dxa" w:w="360"/>
              <w:bottom w:type="dxa" w:w="280"/>
              <w:right w:type="dxa" w:w="360"/>
            </w:tcMar>
          </w:tcPr>
          <w:p>
            <w:pPr>
              <w:jc w:val="left"/>
            </w:pPr>
            <w:r>
              <w:rPr>
                <w:rFonts w:ascii="Arial" w:cs="Arial" w:eastAsia="Arial" w:hAnsi="Arial"/>
                <w:b/>
                <w:bCs/>
                <w:color w:val="00D4FF"/>
                <w:sz w:val="18"/>
                <w:szCs w:val="18"/>
              </w:rPr>
              <w:t xml:space="preserve">SECTION 6</w:t>
            </w:r>
          </w:p>
          <w:p>
            <w:pPr>
              <w:jc w:val="left"/>
            </w:pPr>
            <w:r>
              <w:rPr>
                <w:rFonts w:ascii="Arial" w:cs="Arial" w:eastAsia="Arial" w:hAnsi="Arial"/>
                <w:b/>
                <w:bCs/>
                <w:color w:val="FFFFFF"/>
                <w:sz w:val="36"/>
                <w:szCs w:val="36"/>
              </w:rPr>
              <w:t xml:space="preserve">Developer Prompt 2</w:t>
            </w:r>
          </w:p>
          <w:p>
            <w:pPr>
              <w:jc w:val="left"/>
            </w:pPr>
            <w:r>
              <w:rPr>
                <w:rFonts w:ascii="Arial" w:cs="Arial" w:eastAsia="Arial" w:hAnsi="Arial"/>
                <w:color w:val="9BB5D0"/>
                <w:sz w:val="22"/>
                <w:szCs w:val="22"/>
              </w:rPr>
              <w:t xml:space="preserve">Track record, Telegram bot, macro-to-signal attribution, institutional onboarding, backtesting, mobile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60"/>
              <w:left w:type="dxa" w:w="240"/>
              <w:bottom w:type="dxa" w:w="160"/>
              <w:right w:type="dxa" w:w="240"/>
            </w:tcMar>
          </w:tcPr>
          <w:p>
            <w:r>
              <w:rPr>
                <w:rFonts w:ascii="Arial" w:cs="Arial" w:eastAsia="Arial" w:hAnsi="Arial"/>
                <w:b/>
                <w:bCs/>
                <w:color w:val="7B2FFF"/>
                <w:sz w:val="22"/>
                <w:szCs w:val="22"/>
              </w:rPr>
              <w:t xml:space="preserve">How to use this prompt</w:t>
            </w:r>
          </w:p>
          <w:p>
            <w:r>
              <w:rPr>
                <w:rFonts w:ascii="Arial" w:cs="Arial" w:eastAsia="Arial" w:hAnsi="Arial"/>
                <w:color w:val="1A1A2E"/>
                <w:sz w:val="22"/>
                <w:szCs w:val="22"/>
              </w:rPr>
              <w:t xml:space="preserve">Prompt 2 builds on top of Prompt 1. Assign after Prompt 1 deliverables are live on staging. This prompt is scoped for 4–6 weeks of junior dev time, or 2–3 weeks with a mid-level developer.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B2FFF" w:sz="8"/>
              <w:bottom w:val="single" w:color="CBD5E1" w:sz="1"/>
              <w:right w:val="single" w:color="CBD5E1" w:sz="1"/>
            </w:tcBorders>
            <w:shd w:fill="FBF8FF" w:val="clear"/>
            <w:tcMar>
              <w:top w:type="dxa" w:w="240"/>
              <w:left w:type="dxa" w:w="320"/>
              <w:bottom w:type="dxa" w:w="240"/>
              <w:right w:type="dxa" w:w="240"/>
            </w:tcMar>
          </w:tcPr>
          <w:p>
            <w:pPr>
              <w:spacing w:after="160"/>
            </w:pPr>
            <w:r>
              <w:rPr>
                <w:rFonts w:ascii="Courier New" w:cs="Courier New" w:eastAsia="Courier New" w:hAnsi="Courier New"/>
                <w:b/>
                <w:bCs/>
                <w:color w:val="0A0F1E"/>
                <w:sz w:val="20"/>
                <w:szCs w:val="20"/>
              </w:rPr>
              <w:t xml:space="preserve">DEVELOPER PROMPT 2 — Copy and paste this in full</w:t>
            </w:r>
          </w:p>
          <w:p>
            <w:pPr>
              <w:spacing w:after="120"/>
            </w:pPr>
            <w:r>
              <w:rPr>
                <w:rFonts w:ascii="Courier New" w:cs="Courier New" w:eastAsia="Courier New" w:hAnsi="Courier New"/>
                <w:b/>
                <w:bCs/>
                <w:color w:val="7B2FFF"/>
                <w:sz w:val="20"/>
                <w:szCs w:val="20"/>
              </w:rPr>
              <w:t xml:space="preserve">=== PROJECT CONTEXT ===</w:t>
            </w:r>
          </w:p>
          <w:p>
            <w:pPr>
              <w:spacing w:after="80"/>
            </w:pPr>
            <w:r>
              <w:rPr>
                <w:rFonts w:ascii="Courier New" w:cs="Courier New" w:eastAsia="Courier New" w:hAnsi="Courier New"/>
                <w:color w:val="1A1A2E"/>
                <w:sz w:val="18"/>
                <w:szCs w:val="18"/>
              </w:rPr>
              <w:t xml:space="preserve">You are continuing development on NEXXORE. Prompt 1 deliverables are live: wallet connect, ERC-4626 vault contracts, vault frontend, and alert persistence backend. You now build the growth and distribution layer on top of that foundation.</w:t>
            </w:r>
          </w:p>
          <w:p>
            <w:pPr>
              <w:spacing w:after="120"/>
            </w:pPr>
            <w:r>
              <w:rPr>
                <w:rFonts w:ascii="Courier New" w:cs="Courier New" w:eastAsia="Courier New" w:hAnsi="Courier New"/>
                <w:b/>
                <w:bCs/>
                <w:color w:val="7B2FFF"/>
                <w:sz w:val="20"/>
                <w:szCs w:val="20"/>
              </w:rPr>
              <w:t xml:space="preserve">=== DELIVERABLE A: PUBLIC TRACK RECORD SYSTEM ===</w:t>
            </w:r>
          </w:p>
          <w:p>
            <w:pPr>
              <w:spacing w:after="80"/>
            </w:pPr>
            <w:r>
              <w:rPr>
                <w:rFonts w:ascii="Courier New" w:cs="Courier New" w:eastAsia="Courier New" w:hAnsi="Courier New"/>
                <w:color w:val="1A1A2E"/>
                <w:sz w:val="18"/>
                <w:szCs w:val="18"/>
              </w:rPr>
              <w:t xml:space="preserve">Build the public-facing /track-record page. This is the single most important credibility asset NEXXORE needs. It must be fast, verifiable, and beautiful.</w:t>
            </w:r>
          </w:p>
          <w:p>
            <w:pPr>
              <w:spacing w:after="40"/>
            </w:pPr>
            <w:r>
              <w:rPr>
                <w:rFonts w:ascii="Courier New" w:cs="Courier New" w:eastAsia="Courier New" w:hAnsi="Courier New"/>
                <w:b/>
                <w:bCs/>
                <w:color w:val="0A0F1E"/>
                <w:sz w:val="18"/>
                <w:szCs w:val="18"/>
              </w:rPr>
              <w:t xml:space="preserve">Frontend spec (/track-record):</w:t>
            </w:r>
          </w:p>
          <w:p>
            <w:pPr>
              <w:spacing w:after="40"/>
            </w:pPr>
            <w:r>
              <w:rPr>
                <w:rFonts w:ascii="Courier New" w:cs="Courier New" w:eastAsia="Courier New" w:hAnsi="Courier New"/>
                <w:color w:val="1A1A2E"/>
                <w:sz w:val="18"/>
                <w:szCs w:val="18"/>
              </w:rPr>
              <w:t xml:space="preserve">- Hero stats bar: Total Signals | Win Rate | Avg Return | Sharpe Ratio | Max Drawdown | Total P&amp;L. All computed from the alerts table (Prompt 1).</w:t>
            </w:r>
          </w:p>
          <w:p>
            <w:pPr>
              <w:spacing w:after="40"/>
            </w:pPr>
            <w:r>
              <w:rPr>
                <w:rFonts w:ascii="Courier New" w:cs="Courier New" w:eastAsia="Courier New" w:hAnsi="Courier New"/>
                <w:color w:val="1A1A2E"/>
                <w:sz w:val="18"/>
                <w:szCs w:val="18"/>
              </w:rPr>
              <w:t xml:space="preserve">- Time filter: 7d / 30d / 90d / All time. Default 30d. All stats recalculate on filter change.</w:t>
            </w:r>
          </w:p>
          <w:p>
            <w:pPr>
              <w:spacing w:after="40"/>
            </w:pPr>
            <w:r>
              <w:rPr>
                <w:rFonts w:ascii="Courier New" w:cs="Courier New" w:eastAsia="Courier New" w:hAnsi="Courier New"/>
                <w:color w:val="1A1A2E"/>
                <w:sz w:val="18"/>
                <w:szCs w:val="18"/>
              </w:rPr>
              <w:t xml:space="preserve">- Equity curve chart: cumulative P&amp;L over time. Use Recharts or D3. Annotate major events (macro events from NEXXORE's geopolitical data) as vertical markers.</w:t>
            </w:r>
          </w:p>
          <w:p>
            <w:pPr>
              <w:spacing w:after="40"/>
            </w:pPr>
            <w:r>
              <w:rPr>
                <w:rFonts w:ascii="Courier New" w:cs="Courier New" w:eastAsia="Courier New" w:hAnsi="Courier New"/>
                <w:color w:val="1A1A2E"/>
                <w:sz w:val="18"/>
                <w:szCs w:val="18"/>
              </w:rPr>
              <w:t xml:space="preserve">- Signal log table: columns: Timestamp | Market/Asset | Type | Edge Score | Outcome | P&amp;L | Verify Link. Paginated 50 per page. Sort by timestamp DESC default.</w:t>
            </w:r>
          </w:p>
          <w:p>
            <w:pPr>
              <w:spacing w:after="40"/>
            </w:pPr>
            <w:r>
              <w:rPr>
                <w:rFonts w:ascii="Courier New" w:cs="Courier New" w:eastAsia="Courier New" w:hAnsi="Courier New"/>
                <w:color w:val="1A1A2E"/>
                <w:sz w:val="18"/>
                <w:szCs w:val="18"/>
              </w:rPr>
              <w:t xml:space="preserve">- Verify link: each resolved signal links to Polymarket resolution URL or on-chain tx. This is what makes the track record auditable.</w:t>
            </w:r>
          </w:p>
          <w:p>
            <w:pPr>
              <w:spacing w:after="40"/>
            </w:pPr>
            <w:r>
              <w:rPr>
                <w:rFonts w:ascii="Courier New" w:cs="Courier New" w:eastAsia="Courier New" w:hAnsi="Courier New"/>
                <w:color w:val="1A1A2E"/>
                <w:sz w:val="18"/>
                <w:szCs w:val="18"/>
              </w:rPr>
              <w:t xml:space="preserve">- Calibration chart: for each edge tier (8-9c, 10-11c, 12-14c, 15c+), plot actual win rate vs predicted win rate. Shows model calibration quality.</w:t>
            </w:r>
          </w:p>
          <w:p>
            <w:pPr>
              <w:spacing w:after="80"/>
            </w:pPr>
            <w:r>
              <w:rPr>
                <w:rFonts w:ascii="Courier New" w:cs="Courier New" w:eastAsia="Courier New" w:hAnsi="Courier New"/>
                <w:color w:val="1A1A2E"/>
                <w:sz w:val="18"/>
                <w:szCs w:val="18"/>
              </w:rPr>
              <w:t xml:space="preserve">- Export: CSV download button (all resolved signals). JSON API endpoint also exposed for external integrators.</w:t>
            </w:r>
          </w:p>
          <w:p>
            <w:pPr>
              <w:spacing w:after="80"/>
            </w:pPr>
            <w:r>
              <w:rPr>
                <w:rFonts w:ascii="Courier New" w:cs="Courier New" w:eastAsia="Courier New" w:hAnsi="Courier New"/>
                <w:color w:val="1A1A2E"/>
                <w:sz w:val="18"/>
                <w:szCs w:val="18"/>
              </w:rPr>
              <w:t xml:space="preserve">SEO requirements: Next.js SSR (not CSR) for this page. Meta title: 'NEXXORE Track Record — Live DeFi Signal Performance'. OG image auto-generated with current win rate and P&amp;L stats. Sitemap includes this page.</w:t>
            </w:r>
          </w:p>
          <w:p>
            <w:pPr>
              <w:spacing w:after="80"/>
            </w:pPr>
            <w:r>
              <w:rPr>
                <w:rFonts w:ascii="Courier New" w:cs="Courier New" w:eastAsia="Courier New" w:hAnsi="Courier New"/>
                <w:color w:val="00C896"/>
                <w:sz w:val="18"/>
                <w:szCs w:val="18"/>
              </w:rPr>
              <w:t xml:space="preserve">Acceptance criteria: Page loads &lt; 1.5s LCP on 4G mobile. All stats are accurate against database. Verify links resolve to correct external URLs. OG image renders correctly in Twitter card preview.</w:t>
            </w:r>
          </w:p>
          <w:p>
            <w:pPr>
              <w:spacing w:after="120"/>
            </w:pPr>
            <w:r>
              <w:rPr>
                <w:rFonts w:ascii="Courier New" w:cs="Courier New" w:eastAsia="Courier New" w:hAnsi="Courier New"/>
                <w:b/>
                <w:bCs/>
                <w:color w:val="7B2FFF"/>
                <w:sz w:val="20"/>
                <w:szCs w:val="20"/>
              </w:rPr>
              <w:t xml:space="preserve">=== DELIVERABLE B: TELEGRAM BOT + CHANNEL DISTRIBUTION ===</w:t>
            </w:r>
          </w:p>
          <w:p>
            <w:pPr>
              <w:spacing w:after="80"/>
            </w:pPr>
            <w:r>
              <w:rPr>
                <w:rFonts w:ascii="Courier New" w:cs="Courier New" w:eastAsia="Courier New" w:hAnsi="Courier New"/>
                <w:color w:val="1A1A2E"/>
                <w:sz w:val="18"/>
                <w:szCs w:val="18"/>
              </w:rPr>
              <w:t xml:space="preserve">Tech: Python + python-telegram-bot library. Deployed as a long-running service (Docker container). Bot token from @BotFather.</w:t>
            </w:r>
          </w:p>
          <w:p>
            <w:pPr>
              <w:spacing w:after="40"/>
            </w:pPr>
            <w:r>
              <w:rPr>
                <w:rFonts w:ascii="Courier New" w:cs="Courier New" w:eastAsia="Courier New" w:hAnsi="Courier New"/>
                <w:b/>
                <w:bCs/>
                <w:color w:val="0A0F1E"/>
                <w:sz w:val="18"/>
                <w:szCs w:val="18"/>
              </w:rPr>
              <w:t xml:space="preserve">Channel architecture:</w:t>
            </w:r>
          </w:p>
          <w:p>
            <w:pPr>
              <w:spacing w:after="40"/>
            </w:pPr>
            <w:r>
              <w:rPr>
                <w:rFonts w:ascii="Courier New" w:cs="Courier New" w:eastAsia="Courier New" w:hAnsi="Courier New"/>
                <w:color w:val="1A1A2E"/>
                <w:sz w:val="18"/>
                <w:szCs w:val="18"/>
              </w:rPr>
              <w:t xml:space="preserve">- @NEXXORESignals public channel. Bot posts as the channel admin.</w:t>
            </w:r>
          </w:p>
          <w:p>
            <w:pPr>
              <w:spacing w:after="40"/>
            </w:pPr>
            <w:r>
              <w:rPr>
                <w:rFonts w:ascii="Courier New" w:cs="Courier New" w:eastAsia="Courier New" w:hAnsi="Courier New"/>
                <w:color w:val="1A1A2E"/>
                <w:sz w:val="18"/>
                <w:szCs w:val="18"/>
              </w:rPr>
              <w:t xml:space="preserve">- Free signal post template: [NEXXORE SIGNAL] {market_name} | Edge: {edge_score}c | Confidence: {confidence}% | Expires: {expiry}. Posted for all signals &gt;= 12c.</w:t>
            </w:r>
          </w:p>
          <w:p>
            <w:pPr>
              <w:spacing w:after="40"/>
            </w:pPr>
            <w:r>
              <w:rPr>
                <w:rFonts w:ascii="Courier New" w:cs="Courier New" w:eastAsia="Courier New" w:hAnsi="Courier New"/>
                <w:color w:val="1A1A2E"/>
                <w:sz w:val="18"/>
                <w:szCs w:val="18"/>
              </w:rPr>
              <w:t xml:space="preserve">- Paid signal post: same template but for &gt;= 8c. Sent to private @NEXXOREProSignals channel (invite-only, linked to paid tier users from database).</w:t>
            </w:r>
          </w:p>
          <w:p>
            <w:pPr>
              <w:spacing w:after="40"/>
            </w:pPr>
            <w:r>
              <w:rPr>
                <w:rFonts w:ascii="Courier New" w:cs="Courier New" w:eastAsia="Courier New" w:hAnsi="Courier New"/>
                <w:color w:val="1A1A2E"/>
                <w:sz w:val="18"/>
                <w:szCs w:val="18"/>
              </w:rPr>
              <w:t xml:space="preserve">- Daily brief: 08:00 UTC automated post. Format: === NEXXORE DAILY BRIEF === Top macro signal: {signal_1}. Escalation Index: {index_reading} ({direction}). Top prediction market edge: {market} ({edge}c). Full terminal: nexxore.io/terminal</w:t>
            </w:r>
          </w:p>
          <w:p>
            <w:pPr>
              <w:spacing w:after="40"/>
            </w:pPr>
            <w:r>
              <w:rPr>
                <w:rFonts w:ascii="Courier New" w:cs="Courier New" w:eastAsia="Courier New" w:hAnsi="Courier New"/>
                <w:color w:val="1A1A2E"/>
                <w:sz w:val="18"/>
                <w:szCs w:val="18"/>
              </w:rPr>
              <w:t xml:space="preserve">- Resolution posts: when resolution_worker marks a market resolved, bot posts: RESOLVED: {market_name} | Result: WIN/LOSS | Edge captured: {actual_edge}c | Cumulative win rate: {win_rate}%</w:t>
            </w:r>
          </w:p>
          <w:p>
            <w:pPr>
              <w:spacing w:after="40"/>
            </w:pPr>
            <w:r>
              <w:rPr>
                <w:rFonts w:ascii="Courier New" w:cs="Courier New" w:eastAsia="Courier New" w:hAnsi="Courier New"/>
                <w:color w:val="1A1A2E"/>
                <w:sz w:val="18"/>
                <w:szCs w:val="18"/>
              </w:rPr>
              <w:t xml:space="preserve">- Bot commands: /stats returns text summary of 30d track record. /markets returns list of currently open positions. /upgrade returns link to pricing page.</w:t>
            </w:r>
          </w:p>
          <w:p>
            <w:pPr>
              <w:spacing w:after="80"/>
            </w:pPr>
            <w:r>
              <w:rPr>
                <w:rFonts w:ascii="Courier New" w:cs="Courier New" w:eastAsia="Courier New" w:hAnsi="Courier New"/>
                <w:color w:val="1A1A2E"/>
                <w:sz w:val="18"/>
                <w:szCs w:val="18"/>
              </w:rPr>
              <w:t xml:space="preserve">Viral image card: Resolution posts include an auto-generated image (Pillow library): black background, NEXXORE logo top-left, market name, WIN/LOSS in large green/red, cumulative win rate, and URL. This is designed for screenshot sharing on X.</w:t>
            </w:r>
          </w:p>
          <w:p>
            <w:pPr>
              <w:spacing w:after="80"/>
            </w:pPr>
            <w:r>
              <w:rPr>
                <w:rFonts w:ascii="Courier New" w:cs="Courier New" w:eastAsia="Courier New" w:hAnsi="Courier New"/>
                <w:color w:val="00C896"/>
                <w:sz w:val="18"/>
                <w:szCs w:val="18"/>
              </w:rPr>
              <w:t xml:space="preserve">Acceptance criteria: Bot posts signals within 30 seconds of alert creation. Daily brief fires within 60 seconds of 08:00 UTC. /stats command returns accurate data. Resolution image renders cleanly at 1200x630px.</w:t>
            </w:r>
          </w:p>
          <w:p>
            <w:pPr>
              <w:spacing w:after="120"/>
            </w:pPr>
            <w:r>
              <w:rPr>
                <w:rFonts w:ascii="Courier New" w:cs="Courier New" w:eastAsia="Courier New" w:hAnsi="Courier New"/>
                <w:b/>
                <w:bCs/>
                <w:color w:val="7B2FFF"/>
                <w:sz w:val="20"/>
                <w:szCs w:val="20"/>
              </w:rPr>
              <w:t xml:space="preserve">=== DELIVERABLE C: MACRO-TO-SIGNAL ATTRIBUTION ENGINE ===</w:t>
            </w:r>
          </w:p>
          <w:p>
            <w:pPr>
              <w:spacing w:after="80"/>
            </w:pPr>
            <w:r>
              <w:rPr>
                <w:rFonts w:ascii="Courier New" w:cs="Courier New" w:eastAsia="Courier New" w:hAnsi="Courier New"/>
                <w:color w:val="1A1A2E"/>
                <w:sz w:val="18"/>
                <w:szCs w:val="18"/>
              </w:rPr>
              <w:t xml:space="preserve">This is NEXXORE's core IP made visible. When the Terminal fires a signal, users currently cannot see what triggered it. This deliverable makes the attribution trail transparent.</w:t>
            </w:r>
          </w:p>
          <w:p>
            <w:pPr>
              <w:spacing w:after="40"/>
            </w:pPr>
            <w:r>
              <w:rPr>
                <w:rFonts w:ascii="Courier New" w:cs="Courier New" w:eastAsia="Courier New" w:hAnsi="Courier New"/>
                <w:b/>
                <w:bCs/>
                <w:color w:val="0A0F1E"/>
                <w:sz w:val="18"/>
                <w:szCs w:val="18"/>
              </w:rPr>
              <w:t xml:space="preserve">Attribution schema — add to signals table:</w:t>
            </w:r>
          </w:p>
          <w:p>
            <w:pPr>
              <w:spacing w:after="40"/>
            </w:pPr>
            <w:r>
              <w:rPr>
                <w:rFonts w:ascii="Courier New" w:cs="Courier New" w:eastAsia="Courier New" w:hAnsi="Courier New"/>
                <w:color w:val="1A1A2E"/>
                <w:sz w:val="18"/>
                <w:szCs w:val="18"/>
              </w:rPr>
              <w:t xml:space="preserve">signals(id, created_at, asset, signal_type, trigger_source, trigger_event_description, escalation_index_at_trigger, macro_regime_at_trigger, confidence_score, recommended_action, outcome, pnl_bps)</w:t>
            </w:r>
          </w:p>
          <w:p>
            <w:pPr>
              <w:spacing w:after="40"/>
            </w:pPr>
            <w:r>
              <w:rPr>
                <w:rFonts w:ascii="Courier New" w:cs="Courier New" w:eastAsia="Courier New" w:hAnsi="Courier New"/>
                <w:color w:val="1A1A2E"/>
                <w:sz w:val="18"/>
                <w:szCs w:val="18"/>
              </w:rPr>
              <w:t xml:space="preserve">trigger_source enum: GEOPOLITICAL_MAP | MACRO_INDICATOR | ESCALATION_INDEX | ON_CHAIN_ANOMALY | PREDICTION_MARKET_EDGE | COMBINED</w:t>
            </w:r>
          </w:p>
          <w:p>
            <w:pPr>
              <w:spacing w:after="40"/>
            </w:pPr>
            <w:r>
              <w:rPr>
                <w:rFonts w:ascii="Courier New" w:cs="Courier New" w:eastAsia="Courier New" w:hAnsi="Courier New"/>
                <w:color w:val="1A1A2E"/>
                <w:sz w:val="18"/>
                <w:szCs w:val="18"/>
              </w:rPr>
              <w:t xml:space="preserve">Frontend — signal detail modal: clicking any signal in the Terminal or Track Record opens a modal showing: trigger source (with icon), trigger event description, Escalation Index reading at trigger time, macro regime label, confidence score breakdown by layer.</w:t>
            </w:r>
          </w:p>
          <w:p>
            <w:pPr>
              <w:spacing w:after="80"/>
            </w:pPr>
            <w:r>
              <w:rPr>
                <w:rFonts w:ascii="Courier New" w:cs="Courier New" w:eastAsia="Courier New" w:hAnsi="Courier New"/>
                <w:color w:val="1A1A2E"/>
                <w:sz w:val="18"/>
                <w:szCs w:val="18"/>
              </w:rPr>
              <w:t xml:space="preserve">Case study generator: Admin tool (internal only) that takes a signal ID and generates a formatted case study: 'When [event] happened, NEXXORE's [trigger_source] flagged [asset] [X] hours before [price_move].' These are the core marketing assets for ICP #1.</w:t>
            </w:r>
          </w:p>
          <w:p>
            <w:pPr>
              <w:spacing w:after="80"/>
            </w:pPr>
            <w:r>
              <w:rPr>
                <w:rFonts w:ascii="Courier New" w:cs="Courier New" w:eastAsia="Courier New" w:hAnsi="Courier New"/>
                <w:color w:val="00C896"/>
                <w:sz w:val="18"/>
                <w:szCs w:val="18"/>
              </w:rPr>
              <w:t xml:space="preserve">Acceptance criteria: All new signals (post-deploy) include trigger_source and trigger_event_description. Signal detail modal renders in &lt; 200ms. Admin can generate a formatted case study from any resolved signal in &lt; 30 seconds.</w:t>
            </w:r>
          </w:p>
          <w:p>
            <w:pPr>
              <w:spacing w:after="120"/>
            </w:pPr>
            <w:r>
              <w:rPr>
                <w:rFonts w:ascii="Courier New" w:cs="Courier New" w:eastAsia="Courier New" w:hAnsi="Courier New"/>
                <w:b/>
                <w:bCs/>
                <w:color w:val="7B2FFF"/>
                <w:sz w:val="20"/>
                <w:szCs w:val="20"/>
              </w:rPr>
              <w:t xml:space="preserve">=== DELIVERABLE D: INSTITUTIONAL ONBOARDING + PDF REPORTING ===</w:t>
            </w:r>
          </w:p>
          <w:p>
            <w:pPr>
              <w:spacing w:after="40"/>
            </w:pPr>
            <w:r>
              <w:rPr>
                <w:rFonts w:ascii="Courier New" w:cs="Courier New" w:eastAsia="Courier New" w:hAnsi="Courier New"/>
                <w:b/>
                <w:bCs/>
                <w:color w:val="0A0F1E"/>
                <w:sz w:val="18"/>
                <w:szCs w:val="18"/>
              </w:rPr>
              <w:t xml:space="preserve">Institutional landing page (/institutional):</w:t>
            </w:r>
          </w:p>
          <w:p>
            <w:pPr>
              <w:spacing w:after="40"/>
            </w:pPr>
            <w:r>
              <w:rPr>
                <w:rFonts w:ascii="Courier New" w:cs="Courier New" w:eastAsia="Courier New" w:hAnsi="Courier New"/>
                <w:color w:val="1A1A2E"/>
                <w:sz w:val="18"/>
                <w:szCs w:val="18"/>
              </w:rPr>
              <w:t xml:space="preserve">- Hero: 'The only DeFi execution platform where geopolitical intelligence drives capital allocation.'</w:t>
            </w:r>
          </w:p>
          <w:p>
            <w:pPr>
              <w:spacing w:after="40"/>
            </w:pPr>
            <w:r>
              <w:rPr>
                <w:rFonts w:ascii="Courier New" w:cs="Courier New" w:eastAsia="Courier New" w:hAnsi="Courier New"/>
                <w:color w:val="1A1A2E"/>
                <w:sz w:val="18"/>
                <w:szCs w:val="18"/>
              </w:rPr>
              <w:t xml:space="preserve">- Stats section: live TVL, 30d win rate, Sharpe ratio, audit status badge (Pending / In Progress / Complete).</w:t>
            </w:r>
          </w:p>
          <w:p>
            <w:pPr>
              <w:spacing w:after="40"/>
            </w:pPr>
            <w:r>
              <w:rPr>
                <w:rFonts w:ascii="Courier New" w:cs="Courier New" w:eastAsia="Courier New" w:hAnsi="Courier New"/>
                <w:color w:val="1A1A2E"/>
                <w:sz w:val="18"/>
                <w:szCs w:val="18"/>
              </w:rPr>
              <w:t xml:space="preserve">- Demo request form: name, firm, AUM range (dropdown: &lt;$1M / $1M-$10M / $10M-$100M / $100M+), primary use case (dropdown), message. POST to /api/institutional-inquiry. Store in DB. Trigger email notification to NEXXORE team.</w:t>
            </w:r>
          </w:p>
          <w:p>
            <w:pPr>
              <w:spacing w:after="40"/>
            </w:pPr>
            <w:r>
              <w:rPr>
                <w:rFonts w:ascii="Courier New" w:cs="Courier New" w:eastAsia="Courier New" w:hAnsi="Courier New"/>
                <w:color w:val="1A1A2E"/>
                <w:sz w:val="18"/>
                <w:szCs w:val="18"/>
              </w:rPr>
              <w:t xml:space="preserve">- Auto-response email: sent via Resend API. Includes calendar booking link (Calendly embed URL in env var) and links to due diligence pack PDF.</w:t>
            </w:r>
          </w:p>
          <w:p>
            <w:pPr>
              <w:spacing w:after="40"/>
            </w:pPr>
            <w:r>
              <w:rPr>
                <w:rFonts w:ascii="Courier New" w:cs="Courier New" w:eastAsia="Courier New" w:hAnsi="Courier New"/>
                <w:b/>
                <w:bCs/>
                <w:color w:val="0A0F1E"/>
                <w:sz w:val="18"/>
                <w:szCs w:val="18"/>
              </w:rPr>
              <w:t xml:space="preserve">Monthly PDF report generator (admin tool):</w:t>
            </w:r>
          </w:p>
          <w:p>
            <w:pPr>
              <w:spacing w:after="40"/>
            </w:pPr>
            <w:r>
              <w:rPr>
                <w:rFonts w:ascii="Courier New" w:cs="Courier New" w:eastAsia="Courier New" w:hAnsi="Courier New"/>
                <w:color w:val="1A1A2E"/>
                <w:sz w:val="18"/>
                <w:szCs w:val="18"/>
              </w:rPr>
              <w:t xml:space="preserve">- Tech: Puppeteer headless Chrome rendering a Next.js report page as PDF.</w:t>
            </w:r>
          </w:p>
          <w:p>
            <w:pPr>
              <w:spacing w:after="40"/>
            </w:pPr>
            <w:r>
              <w:rPr>
                <w:rFonts w:ascii="Courier New" w:cs="Courier New" w:eastAsia="Courier New" w:hAnsi="Courier New"/>
                <w:color w:val="1A1A2E"/>
                <w:sz w:val="18"/>
                <w:szCs w:val="18"/>
              </w:rPr>
              <w:t xml:space="preserve">- Contents: vault performance chart (equity curve), macro regime narrative (GPT-4o generated from signal data), top 5 signals with attribution, risk metrics table, Escalation Index history.</w:t>
            </w:r>
          </w:p>
          <w:p>
            <w:pPr>
              <w:spacing w:after="80"/>
            </w:pPr>
            <w:r>
              <w:rPr>
                <w:rFonts w:ascii="Courier New" w:cs="Courier New" w:eastAsia="Courier New" w:hAnsi="Courier New"/>
                <w:color w:val="1A1A2E"/>
                <w:sz w:val="18"/>
                <w:szCs w:val="18"/>
              </w:rPr>
              <w:t xml:space="preserve">- Admin flow: /admin/reports → select month → generate PDF → preview → email to institutional contact list (stored in DB). PDF stored to S3 with signed URL (30-day expiry) for recipient access.</w:t>
            </w:r>
          </w:p>
          <w:p>
            <w:pPr>
              <w:spacing w:after="80"/>
            </w:pPr>
            <w:r>
              <w:rPr>
                <w:rFonts w:ascii="Courier New" w:cs="Courier New" w:eastAsia="Courier New" w:hAnsi="Courier New"/>
                <w:color w:val="00C896"/>
                <w:sz w:val="18"/>
                <w:szCs w:val="18"/>
              </w:rPr>
              <w:t xml:space="preserve">Acceptance criteria: Institutional page loads &lt; 2s. Demo form submits and triggers email within 60s. PDF report generates in &lt; 30s and renders correctly in PDF reader. Monthly email delivers to all contacts in list.</w:t>
            </w:r>
          </w:p>
          <w:p>
            <w:pPr>
              <w:spacing w:after="120"/>
            </w:pPr>
            <w:r>
              <w:rPr>
                <w:rFonts w:ascii="Courier New" w:cs="Courier New" w:eastAsia="Courier New" w:hAnsi="Courier New"/>
                <w:b/>
                <w:bCs/>
                <w:color w:val="7B2FFF"/>
                <w:sz w:val="20"/>
                <w:szCs w:val="20"/>
              </w:rPr>
              <w:t xml:space="preserve">=== DELIVERABLE E: STRATEGY BUILDER BACKTESTING + MOBILE OVERHAUL ===</w:t>
            </w:r>
          </w:p>
          <w:p>
            <w:pPr>
              <w:spacing w:after="40"/>
            </w:pPr>
            <w:r>
              <w:rPr>
                <w:rFonts w:ascii="Courier New" w:cs="Courier New" w:eastAsia="Courier New" w:hAnsi="Courier New"/>
                <w:b/>
                <w:bCs/>
                <w:color w:val="0A0F1E"/>
                <w:sz w:val="18"/>
                <w:szCs w:val="18"/>
              </w:rPr>
              <w:t xml:space="preserve">Backtesting engine:</w:t>
            </w:r>
          </w:p>
          <w:p>
            <w:pPr>
              <w:spacing w:after="40"/>
            </w:pPr>
            <w:r>
              <w:rPr>
                <w:rFonts w:ascii="Courier New" w:cs="Courier New" w:eastAsia="Courier New" w:hAnsi="Courier New"/>
                <w:color w:val="1A1A2E"/>
                <w:sz w:val="18"/>
                <w:szCs w:val="18"/>
              </w:rPr>
              <w:t xml:space="preserve">- Backend: Python + FastAPI. OHLCV data via CCXT historical endpoint (Binance as primary source, 3-year lookback).</w:t>
            </w:r>
          </w:p>
          <w:p>
            <w:pPr>
              <w:spacing w:after="40"/>
            </w:pPr>
            <w:r>
              <w:rPr>
                <w:rFonts w:ascii="Courier New" w:cs="Courier New" w:eastAsia="Courier New" w:hAnsi="Courier New"/>
                <w:color w:val="1A1A2E"/>
                <w:sz w:val="18"/>
                <w:szCs w:val="18"/>
              </w:rPr>
              <w:t xml:space="preserve">- Backtest endpoint: POST /api/backtest { strategy_params, asset, timeframe, start_date, end_date }. Returns equity_curve[], max_drawdown, sharpe, win_rate, total_trades, regime_breakdown.</w:t>
            </w:r>
          </w:p>
          <w:p>
            <w:pPr>
              <w:spacing w:after="40"/>
            </w:pPr>
            <w:r>
              <w:rPr>
                <w:rFonts w:ascii="Courier New" w:cs="Courier New" w:eastAsia="Courier New" w:hAnsi="Courier New"/>
                <w:color w:val="1A1A2E"/>
                <w:sz w:val="18"/>
                <w:szCs w:val="18"/>
              </w:rPr>
              <w:t xml:space="preserve">- Regime overlay: backtest result includes array of regime_periods [{ start, end, regime_label, strategy_return_in_period }]. Frontend renders these as color bands on the equity curve chart.</w:t>
            </w:r>
          </w:p>
          <w:p>
            <w:pPr>
              <w:spacing w:after="40"/>
            </w:pPr>
            <w:r>
              <w:rPr>
                <w:rFonts w:ascii="Courier New" w:cs="Courier New" w:eastAsia="Courier New" w:hAnsi="Courier New"/>
                <w:color w:val="1A1A2E"/>
                <w:sz w:val="18"/>
                <w:szCs w:val="18"/>
              </w:rPr>
              <w:t xml:space="preserve">- Strategy Gallery save: completed backtest can be saved as a named strategy card (name, description, asset_class, regime_tags, backtest_sharpe, backtest_max_drawdown). Stored in strategies table.</w:t>
            </w:r>
          </w:p>
          <w:p>
            <w:pPr>
              <w:spacing w:after="40"/>
            </w:pPr>
            <w:r>
              <w:rPr>
                <w:rFonts w:ascii="Courier New" w:cs="Courier New" w:eastAsia="Courier New" w:hAnsi="Courier New"/>
                <w:b/>
                <w:bCs/>
                <w:color w:val="0A0F1E"/>
                <w:sz w:val="18"/>
                <w:szCs w:val="18"/>
              </w:rPr>
              <w:t xml:space="preserve">Mobile responsive overhaul:</w:t>
            </w:r>
          </w:p>
          <w:p>
            <w:pPr>
              <w:spacing w:after="40"/>
            </w:pPr>
            <w:r>
              <w:rPr>
                <w:rFonts w:ascii="Courier New" w:cs="Courier New" w:eastAsia="Courier New" w:hAnsi="Courier New"/>
                <w:color w:val="1A1A2E"/>
                <w:sz w:val="18"/>
                <w:szCs w:val="18"/>
              </w:rPr>
              <w:t xml:space="preserve">- Target viewport: 375px (iPhone SE). All pages must render without horizontal scroll.</w:t>
            </w:r>
          </w:p>
          <w:p>
            <w:pPr>
              <w:spacing w:after="40"/>
            </w:pPr>
            <w:r>
              <w:rPr>
                <w:rFonts w:ascii="Courier New" w:cs="Courier New" w:eastAsia="Courier New" w:hAnsi="Courier New"/>
                <w:color w:val="1A1A2E"/>
                <w:sz w:val="18"/>
                <w:szCs w:val="18"/>
              </w:rPr>
              <w:t xml:space="preserve">- Terminal: data panels stack vertically on mobile. Geopolitical map collapses to a compact heatmap widget.</w:t>
            </w:r>
          </w:p>
          <w:p>
            <w:pPr>
              <w:spacing w:after="40"/>
            </w:pPr>
            <w:r>
              <w:rPr>
                <w:rFonts w:ascii="Courier New" w:cs="Courier New" w:eastAsia="Courier New" w:hAnsi="Courier New"/>
                <w:color w:val="1A1A2E"/>
                <w:sz w:val="18"/>
                <w:szCs w:val="18"/>
              </w:rPr>
              <w:t xml:space="preserve">- Touch targets: all interactive elements &gt;= 44px. Bottom navigation bar on mobile (Terminal / Vaults / Signals / Profile).</w:t>
            </w:r>
          </w:p>
          <w:p>
            <w:pPr>
              <w:spacing w:after="80"/>
            </w:pPr>
            <w:r>
              <w:rPr>
                <w:rFonts w:ascii="Courier New" w:cs="Courier New" w:eastAsia="Courier New" w:hAnsi="Courier New"/>
                <w:color w:val="1A1A2E"/>
                <w:sz w:val="18"/>
                <w:szCs w:val="18"/>
              </w:rPr>
              <w:t xml:space="preserve">- Performance: Lighthouse mobile score &gt;= 75. Core Web Vitals: LCP &lt; 2.5s, CLS &lt; 0.1, FID &lt; 100ms.</w:t>
            </w:r>
          </w:p>
          <w:p>
            <w:pPr>
              <w:spacing w:after="80"/>
            </w:pPr>
            <w:r>
              <w:rPr>
                <w:rFonts w:ascii="Courier New" w:cs="Courier New" w:eastAsia="Courier New" w:hAnsi="Courier New"/>
                <w:color w:val="00C896"/>
                <w:sz w:val="18"/>
                <w:szCs w:val="18"/>
              </w:rPr>
              <w:t xml:space="preserve">Acceptance criteria: Backtest runs end-to-end in &lt; 10s for 1-year lookback. Regime overlay renders correctly. Strategy Gallery shows saved strategies. All pages pass mobile viewport test with no horizontal scroll. Lighthouse mobile score &gt;= 75.</w:t>
            </w:r>
          </w:p>
          <w:p>
            <w:pPr>
              <w:spacing w:after="80"/>
            </w:pPr>
            <w:r>
              <w:rPr>
                <w:rFonts w:ascii="Courier New" w:cs="Courier New" w:eastAsia="Courier New" w:hAnsi="Courier New"/>
                <w:b/>
                <w:bCs/>
                <w:color w:val="7B2FFF"/>
                <w:sz w:val="20"/>
                <w:szCs w:val="20"/>
              </w:rPr>
              <w:t xml:space="preserve">=== DELIVERABLE FORMAT ===</w:t>
            </w:r>
          </w:p>
          <w:p>
            <w:pPr>
              <w:spacing w:after="40"/>
            </w:pPr>
            <w:r>
              <w:rPr>
                <w:rFonts w:ascii="Courier New" w:cs="Courier New" w:eastAsia="Courier New" w:hAnsi="Courier New"/>
                <w:color w:val="1A1A2E"/>
                <w:sz w:val="18"/>
                <w:szCs w:val="18"/>
              </w:rPr>
              <w:t xml:space="preserve">Same as Prompt 1: GitHub PR per deliverable, README with architecture decisions, test output screenshot, Loom walkthrough (&lt; 5 min). All Prompt 2 PRs must reference Prompt 1 staging URL to confirm backward compatibility.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280"/>
              <w:left w:type="dxa" w:w="360"/>
              <w:bottom w:type="dxa" w:w="280"/>
              <w:right w:type="dxa" w:w="360"/>
            </w:tcMar>
          </w:tcPr>
          <w:p>
            <w:pPr>
              <w:jc w:val="left"/>
            </w:pPr>
            <w:r>
              <w:rPr>
                <w:rFonts w:ascii="Arial" w:cs="Arial" w:eastAsia="Arial" w:hAnsi="Arial"/>
                <w:b/>
                <w:bCs/>
                <w:color w:val="00D4FF"/>
                <w:sz w:val="18"/>
                <w:szCs w:val="18"/>
              </w:rPr>
              <w:t xml:space="preserve">SECTION 7</w:t>
            </w:r>
          </w:p>
          <w:p>
            <w:pPr>
              <w:jc w:val="left"/>
            </w:pPr>
            <w:r>
              <w:rPr>
                <w:rFonts w:ascii="Arial" w:cs="Arial" w:eastAsia="Arial" w:hAnsi="Arial"/>
                <w:b/>
                <w:bCs/>
                <w:color w:val="FFFFFF"/>
                <w:sz w:val="36"/>
                <w:szCs w:val="36"/>
              </w:rPr>
              <w:t xml:space="preserve">12-Sprint Roadmap</w:t>
            </w:r>
          </w:p>
          <w:p>
            <w:pPr>
              <w:jc w:val="left"/>
            </w:pPr>
            <w:r>
              <w:rPr>
                <w:rFonts w:ascii="Arial" w:cs="Arial" w:eastAsia="Arial" w:hAnsi="Arial"/>
                <w:color w:val="9BB5D0"/>
                <w:sz w:val="22"/>
                <w:szCs w:val="22"/>
              </w:rPr>
              <w:t xml:space="preserve">Prioritized execution sequence — critical path marked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F" w:val="clear"/>
            <w:tcMar>
              <w:top w:type="dxa" w:w="160"/>
              <w:left w:type="dxa" w:w="240"/>
              <w:bottom w:type="dxa" w:w="160"/>
              <w:right w:type="dxa" w:w="240"/>
            </w:tcMar>
          </w:tcPr>
          <w:p>
            <w:r>
              <w:rPr>
                <w:rFonts w:ascii="Arial" w:cs="Arial" w:eastAsia="Arial" w:hAnsi="Arial"/>
                <w:b/>
                <w:bCs/>
                <w:color w:val="7B2FFF"/>
                <w:sz w:val="22"/>
                <w:szCs w:val="22"/>
              </w:rPr>
              <w:t xml:space="preserve">Critical Path Warning</w:t>
            </w:r>
          </w:p>
          <w:p>
            <w:r>
              <w:rPr>
                <w:rFonts w:ascii="Arial" w:cs="Arial" w:eastAsia="Arial" w:hAnsi="Arial"/>
                <w:color w:val="1A1A2E"/>
                <w:sz w:val="22"/>
                <w:szCs w:val="22"/>
              </w:rPr>
              <w:t xml:space="preserve">Do NOT launch distribution (Telegram channel, content engine, KOL outreach) until Sprint 4 is complete: vault live on mainnet + track record page live with real data. Distributing before this creates a credibility trap — traffic arrives to a platform that cannot yet prove it works.</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7.1  Sprint Schedule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560"/>
        <w:gridCol w:w="1800"/>
      </w:tblGrid>
      <w:tr>
        <w:trPr>
          <w:tblHeader/>
        </w:trPr>
        <w:tc>
          <w:tcPr>
            <w:tcW w:type="dxa" w:w="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Sprint</w:t>
            </w:r>
          </w:p>
        </w:tc>
        <w:tc>
          <w:tcPr>
            <w:tcW w:type="dxa" w:w="12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Weeks</w:t>
            </w:r>
          </w:p>
        </w:tc>
        <w:tc>
          <w:tcPr>
            <w:tcW w:type="dxa" w:w="55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Theme</w:t>
            </w:r>
          </w:p>
        </w:tc>
        <w:tc>
          <w:tcPr>
            <w:tcW w:type="dxa" w:w="1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Critical Path?</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1-2</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Foundation — Wallet Connect + Alert Persistence (Prompt 1A + 1C)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 — blocks all vault functionality</w:t>
            </w:r>
          </w:p>
        </w:tc>
      </w:tr>
      <w:tr>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2</w:t>
            </w:r>
          </w:p>
        </w:tc>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3-4</w:t>
            </w:r>
          </w:p>
        </w:tc>
        <w:tc>
          <w:tcPr>
            <w:tcW w:type="dxa" w:w="5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Smart Contracts — ERC-4626 vault deploy to testnet (Prompt 1B)</w:t>
            </w:r>
          </w:p>
        </w:tc>
        <w:tc>
          <w:tcPr>
            <w:tcW w:type="dxa" w:w="1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YES — blocks TVL metrics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5-6</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Track Record — Public /track-record page live with real data (Prompt 2A)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 — blocks credibility claims</w:t>
            </w:r>
          </w:p>
        </w:tc>
      </w:tr>
      <w:tr>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4</w:t>
            </w:r>
          </w:p>
        </w:tc>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7-8</w:t>
            </w:r>
          </w:p>
        </w:tc>
        <w:tc>
          <w:tcPr>
            <w:tcW w:type="dxa" w:w="5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Vault Mainnet — Audit prep + Arbitrum One deploy + vault frontend</w:t>
            </w:r>
          </w:p>
        </w:tc>
        <w:tc>
          <w:tcPr>
            <w:tcW w:type="dxa" w:w="1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YES — blocks TVL growth</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9-10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Telegram — @NEXXORESignals channel live + daily brief bot (Prompt 2B)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 — first distribution sprint</w:t>
            </w:r>
          </w:p>
        </w:tc>
      </w:tr>
      <w:tr>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6</w:t>
            </w:r>
          </w:p>
        </w:tc>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11-12</w:t>
            </w:r>
          </w:p>
        </w:tc>
        <w:tc>
          <w:tcPr>
            <w:tcW w:type="dxa" w:w="5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Attribution — Macro-to-signal attribution engine (Prompt 2C)</w:t>
            </w:r>
          </w:p>
        </w:tc>
        <w:tc>
          <w:tcPr>
            <w:tcW w:type="dxa" w:w="1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NO — deepens product differentiation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7</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13-14</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Institutional — /institutional page + demo form + PDF reports (Prompt 2D)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 — unlocks high-value ICP</w:t>
            </w:r>
          </w:p>
        </w:tc>
      </w:tr>
      <w:tr>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8</w:t>
            </w:r>
          </w:p>
        </w:tc>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15-16</w:t>
            </w:r>
          </w:p>
        </w:tc>
        <w:tc>
          <w:tcPr>
            <w:tcW w:type="dxa" w:w="5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Backtesting — Strategy Builder backtest engine + regime overlay (Prompt 2E)</w:t>
            </w:r>
          </w:p>
        </w:tc>
        <w:tc>
          <w:tcPr>
            <w:tcW w:type="dxa" w:w="1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NO — unlocks Pro tier users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17-18</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Strategy Gallery — launch with 5 NEXXORE flagship strategies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 — platform network effects</w:t>
            </w:r>
          </w:p>
        </w:tc>
      </w:tr>
      <w:tr>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10</w:t>
            </w:r>
          </w:p>
        </w:tc>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19-20</w:t>
            </w:r>
          </w:p>
        </w:tc>
        <w:tc>
          <w:tcPr>
            <w:tcW w:type="dxa" w:w="5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Pricing — Tiered pricing live: Free / Trader / Pro / Institutional</w:t>
            </w:r>
          </w:p>
        </w:tc>
        <w:tc>
          <w:tcPr>
            <w:tcW w:type="dxa" w:w="1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NO — revenue conversion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21-22</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Partnerships — The Block / Blockworks data feed + KOL outreach (ICP #1)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 — top-of-funnel growth</w:t>
            </w:r>
          </w:p>
        </w:tc>
      </w:tr>
      <w:tr>
        <w:tc>
          <w:tcPr>
            <w:tcW w:type="dxa" w:w="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12</w:t>
            </w:r>
          </w:p>
        </w:tc>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23-24</w:t>
            </w:r>
          </w:p>
        </w:tc>
        <w:tc>
          <w:tcPr>
            <w:tcW w:type="dxa" w:w="5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Mobile — Full mobile overhaul + PWA + push notifications</w:t>
            </w:r>
          </w:p>
        </w:tc>
        <w:tc>
          <w:tcPr>
            <w:tcW w:type="dxa" w:w="1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NO — retention and DAU</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7.2  Sprint 1-4 Detail — The Critical Path</w:t>
      </w:r>
    </w:p>
    <w:p>
      <w:pPr>
        <w:spacing w:after="120" w:before="80"/>
      </w:pPr>
      <w:r>
        <w:rPr>
          <w:rFonts w:ascii="Arial" w:cs="Arial" w:eastAsia="Arial" w:hAnsi="Arial"/>
          <w:b w:val="false"/>
          <w:bCs w:val="false"/>
          <w:color w:val="1A1A2E"/>
          <w:sz w:val="22"/>
          <w:szCs w:val="22"/>
        </w:rPr>
        <w:t xml:space="preserve">These four sprints are the non-negotiable foundation. Nothing else matters until this infrastructure is live.</w:t>
      </w:r>
    </w:p>
    <w:p>
      <w:pPr>
        <w:spacing w:after="80" w:before="80"/>
      </w:pPr>
      <w:r>
        <w:t xml:space="preserve"/>
      </w:r>
    </w:p>
    <w:p>
      <w:pPr>
        <w:pStyle w:val="Heading3"/>
        <w:spacing w:after="80" w:before="240"/>
      </w:pPr>
      <w:r>
        <w:rPr>
          <w:rFonts w:ascii="Arial" w:cs="Arial" w:eastAsia="Arial" w:hAnsi="Arial"/>
          <w:b/>
          <w:bCs/>
          <w:color w:val="7B2FFF"/>
          <w:sz w:val="24"/>
          <w:szCs w:val="24"/>
        </w:rPr>
        <w:t xml:space="preserve">Sprint 1 — Wallet Connect + Alert Persistence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Task</w:t>
            </w:r>
          </w:p>
        </w:tc>
        <w:tc>
          <w:tcPr>
            <w:tcW w:type="dxa" w:w="15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Owner</w:t>
            </w:r>
          </w:p>
        </w:tc>
        <w:tc>
          <w:tcPr>
            <w:tcW w:type="dxa" w:w="33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Done When</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WalletConnect v2 integration (wagmi + viem)</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MetaMask connect/disconnect works on staging</w:t>
            </w:r>
          </w:p>
        </w:tc>
      </w:tr>
      <w:tr>
        <w:tc>
          <w:tcPr>
            <w:tcW w:type="dxa" w:w="4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Privy embedded wallet for email login</w:t>
            </w:r>
          </w:p>
        </w:tc>
        <w:tc>
          <w:tcPr>
            <w:tcW w:type="dxa" w:w="1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Email login creates non-custodial wallet on staging</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alerts table created in PostgreSQL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Schema migrated, test rows insertable</w:t>
            </w:r>
          </w:p>
        </w:tc>
      </w:tr>
      <w:tr>
        <w:tc>
          <w:tcPr>
            <w:tcW w:type="dxa" w:w="4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Resolution worker deployed (cron, 15-min cycle)</w:t>
            </w:r>
          </w:p>
        </w:tc>
        <w:tc>
          <w:tcPr>
            <w:tcW w:type="dxa" w:w="1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Worker updates test market correctly</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/api/track-record returns correct aggregates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Postman test returns accurate stats</w:t>
            </w:r>
          </w:p>
        </w:tc>
      </w:tr>
    </w:tbl>
    <w:p>
      <w:pPr>
        <w:spacing w:after="80" w:before="80"/>
      </w:pPr>
      <w:r>
        <w:t xml:space="preserve"/>
      </w:r>
    </w:p>
    <w:p>
      <w:pPr>
        <w:pStyle w:val="Heading3"/>
        <w:spacing w:after="80" w:before="240"/>
      </w:pPr>
      <w:r>
        <w:rPr>
          <w:rFonts w:ascii="Arial" w:cs="Arial" w:eastAsia="Arial" w:hAnsi="Arial"/>
          <w:b/>
          <w:bCs/>
          <w:color w:val="7B2FFF"/>
          <w:sz w:val="24"/>
          <w:szCs w:val="24"/>
        </w:rPr>
        <w:t xml:space="preserve">Sprint 2 — ERC-4626 Vault Contracts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Task</w:t>
            </w:r>
          </w:p>
        </w:tc>
        <w:tc>
          <w:tcPr>
            <w:tcW w:type="dxa" w:w="15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Owner</w:t>
            </w:r>
          </w:p>
        </w:tc>
        <w:tc>
          <w:tcPr>
            <w:tcW w:type="dxa" w:w="33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Done When</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NEXXOREVault.sol written with all required features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Code complete, Foundry test suite written</w:t>
            </w:r>
          </w:p>
        </w:tc>
      </w:tr>
      <w:tr>
        <w:tc>
          <w:tcPr>
            <w:tcW w:type="dxa" w:w="4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Foundry test suite &gt;= 90% coverage</w:t>
            </w:r>
          </w:p>
        </w:tc>
        <w:tc>
          <w:tcPr>
            <w:tcW w:type="dxa" w:w="1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forge coverage report shows &gt;= 90%</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Slither static analysis — zero high/critical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Slither output clean</w:t>
            </w:r>
          </w:p>
        </w:tc>
      </w:tr>
      <w:tr>
        <w:tc>
          <w:tcPr>
            <w:tcW w:type="dxa" w:w="4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Deployed to Arbitrum Sepolia testnet</w:t>
            </w:r>
          </w:p>
        </w:tc>
        <w:tc>
          <w:tcPr>
            <w:tcW w:type="dxa" w:w="1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Contract verified on Arbiscan Sepolia</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Vault frontend — deposit/withdraw flows on testnet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End-to-end deposit flow works in browser</w:t>
            </w:r>
          </w:p>
        </w:tc>
      </w:tr>
    </w:tbl>
    <w:p>
      <w:pPr>
        <w:spacing w:after="80" w:before="80"/>
      </w:pPr>
      <w:r>
        <w:t xml:space="preserve"/>
      </w:r>
    </w:p>
    <w:p>
      <w:pPr>
        <w:pStyle w:val="Heading3"/>
        <w:spacing w:after="80" w:before="240"/>
      </w:pPr>
      <w:r>
        <w:rPr>
          <w:rFonts w:ascii="Arial" w:cs="Arial" w:eastAsia="Arial" w:hAnsi="Arial"/>
          <w:b/>
          <w:bCs/>
          <w:color w:val="7B2FFF"/>
          <w:sz w:val="24"/>
          <w:szCs w:val="24"/>
        </w:rPr>
        <w:t xml:space="preserve">Sprint 3 — Track Record Page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Task</w:t>
            </w:r>
          </w:p>
        </w:tc>
        <w:tc>
          <w:tcPr>
            <w:tcW w:type="dxa" w:w="15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Owner</w:t>
            </w:r>
          </w:p>
        </w:tc>
        <w:tc>
          <w:tcPr>
            <w:tcW w:type="dxa" w:w="33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Done When</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Track record page built in Next.js SSR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Page renders in &lt; 1.5s LCP on staging</w:t>
            </w:r>
          </w:p>
        </w:tc>
      </w:tr>
      <w:tr>
        <w:tc>
          <w:tcPr>
            <w:tcW w:type="dxa" w:w="4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Equity curve chart with regime annotations</w:t>
            </w:r>
          </w:p>
        </w:tc>
        <w:tc>
          <w:tcPr>
            <w:tcW w:type="dxa" w:w="1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Chart renders with mock data; regime bands display</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Signal log table — paginated, sortable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50 rows per page, sort by timestamp works</w:t>
            </w:r>
          </w:p>
        </w:tc>
      </w:tr>
      <w:tr>
        <w:tc>
          <w:tcPr>
            <w:tcW w:type="dxa" w:w="4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Calibration chart (edge tier vs actual win rate)</w:t>
            </w:r>
          </w:p>
        </w:tc>
        <w:tc>
          <w:tcPr>
            <w:tcW w:type="dxa" w:w="1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Chart renders; shows 'No data yet' gracefully on launch</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CSV export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Download button produces valid CSV</w:t>
            </w:r>
          </w:p>
        </w:tc>
      </w:tr>
      <w:tr>
        <w:tc>
          <w:tcPr>
            <w:tcW w:type="dxa" w:w="4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OG image auto-generated with live stats</w:t>
            </w:r>
          </w:p>
        </w:tc>
        <w:tc>
          <w:tcPr>
            <w:tcW w:type="dxa" w:w="1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Twitter card preview shows correct stats</w:t>
            </w:r>
          </w:p>
        </w:tc>
      </w:tr>
    </w:tbl>
    <w:p>
      <w:pPr>
        <w:spacing w:after="80" w:before="80"/>
      </w:pPr>
      <w:r>
        <w:t xml:space="preserve"/>
      </w:r>
    </w:p>
    <w:p>
      <w:pPr>
        <w:pStyle w:val="Heading3"/>
        <w:spacing w:after="80" w:before="240"/>
      </w:pPr>
      <w:r>
        <w:rPr>
          <w:rFonts w:ascii="Arial" w:cs="Arial" w:eastAsia="Arial" w:hAnsi="Arial"/>
          <w:b/>
          <w:bCs/>
          <w:color w:val="7B2FFF"/>
          <w:sz w:val="24"/>
          <w:szCs w:val="24"/>
        </w:rPr>
        <w:t xml:space="preserve">Sprint 4 — Vault Mainnet Launch (Weeks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Task</w:t>
            </w:r>
          </w:p>
        </w:tc>
        <w:tc>
          <w:tcPr>
            <w:tcW w:type="dxa" w:w="15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Owner</w:t>
            </w:r>
          </w:p>
        </w:tc>
        <w:tc>
          <w:tcPr>
            <w:tcW w:type="dxa" w:w="33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Done When</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Security audit initiated with Tier-1 firm</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Founder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Audit firm contracted, scope agreed</w:t>
            </w:r>
          </w:p>
        </w:tc>
      </w:tr>
      <w:tr>
        <w:tc>
          <w:tcPr>
            <w:tcW w:type="dxa" w:w="4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Gnosis Safe multisig configured (3-of-5)</w:t>
            </w:r>
          </w:p>
        </w:tc>
        <w:tc>
          <w:tcPr>
            <w:tcW w:type="dxa" w:w="1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Founder</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Safe deployed, all signers confirmed</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Vault deployed to Arbitrum One mainnet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Contract verified on Arbiscan mainnet</w:t>
            </w:r>
          </w:p>
        </w:tc>
      </w:tr>
      <w:tr>
        <w:tc>
          <w:tcPr>
            <w:tcW w:type="dxa" w:w="4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Vault frontend live on production</w:t>
            </w:r>
          </w:p>
        </w:tc>
        <w:tc>
          <w:tcPr>
            <w:tcW w:type="dxa" w:w="15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Real deposits accepted (initial cap: $50K)</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TVL displayed on homepage and track record page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Dev</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Live TVL number updates every 5 minutes</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7.3  Sprint 5-12 Overview — Growth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Sprint</w:t>
            </w:r>
          </w:p>
        </w:tc>
        <w:tc>
          <w:tcPr>
            <w:tcW w:type="dxa" w:w="3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Primary Metric Goal</w:t>
            </w:r>
          </w:p>
        </w:tc>
        <w:tc>
          <w:tcPr>
            <w:tcW w:type="dxa" w:w="43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Key Risk</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 — Telegram</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@NEXXORESignals reaches 500 subscribers in 30 days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Low-quality signal output damages brand before track record is established</w:t>
            </w:r>
          </w:p>
        </w:tc>
      </w:tr>
      <w:tr>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6 — Attribution</w:t>
            </w:r>
          </w:p>
        </w:tc>
        <w:tc>
          <w:tcPr>
            <w:tcW w:type="dxa" w:w="3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100% of new signals have trigger_source populated</w:t>
            </w:r>
          </w:p>
        </w:tc>
        <w:tc>
          <w:tcPr>
            <w:tcW w:type="dxa" w:w="4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Attribution quality requires QA — assign a reviewer for first 2 weeks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7 — Institutional</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10 demo requests submitted within 30 days of launch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Form submissions without follow-up pipeline create false traction signal</w:t>
            </w:r>
          </w:p>
        </w:tc>
      </w:tr>
      <w:tr>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8 — Backtesting</w:t>
            </w:r>
          </w:p>
        </w:tc>
        <w:tc>
          <w:tcPr>
            <w:tcW w:type="dxa" w:w="3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Pro tier conversion rate &gt; 15% of active free users</w:t>
            </w:r>
          </w:p>
        </w:tc>
        <w:tc>
          <w:tcPr>
            <w:tcW w:type="dxa" w:w="4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Backtest engine performance on long lookbacks — test with 3-year data before launch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9 — Strategy Gallery</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 community strategy submissions within 30 days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Community submissions need curation — assign reviewer before launch</w:t>
            </w:r>
          </w:p>
        </w:tc>
      </w:tr>
      <w:tr>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10 — Pricing</w:t>
            </w:r>
          </w:p>
        </w:tc>
        <w:tc>
          <w:tcPr>
            <w:tcW w:type="dxa" w:w="3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First $10K MRR milestone</w:t>
            </w:r>
          </w:p>
        </w:tc>
        <w:tc>
          <w:tcPr>
            <w:tcW w:type="dxa" w:w="4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Free-to-paid conversion requires friction-right paywall design — A/B test the upgrade gate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11 — Partnerships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One media placement (The Block / Blockworks / Bankless)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KOL outreach quality over quantity — 5 right accounts beats 50 wrong ones</w:t>
            </w:r>
          </w:p>
        </w:tc>
      </w:tr>
      <w:tr>
        <w:tc>
          <w:tcPr>
            <w:tcW w:type="dxa" w:w="1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12 — Mobile</w:t>
            </w:r>
          </w:p>
        </w:tc>
        <w:tc>
          <w:tcPr>
            <w:tcW w:type="dxa" w:w="3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Mobile DAU &gt; 30% of total DAU</w:t>
            </w:r>
          </w:p>
        </w:tc>
        <w:tc>
          <w:tcPr>
            <w:tcW w:type="dxa" w:w="4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Mobile performance on low-end Android — test on real devices, not just Chrome devtools</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7.4  The Growth Flywheel — How It All Connects</w:t>
      </w:r>
    </w:p>
    <w:p>
      <w:pPr>
        <w:spacing w:after="120" w:before="80"/>
      </w:pPr>
      <w:r>
        <w:rPr>
          <w:rFonts w:ascii="Arial" w:cs="Arial" w:eastAsia="Arial" w:hAnsi="Arial"/>
          <w:b w:val="false"/>
          <w:bCs w:val="false"/>
          <w:color w:val="1A1A2E"/>
          <w:sz w:val="22"/>
          <w:szCs w:val="22"/>
        </w:rPr>
        <w:t xml:space="preserve">The roadmap is designed to build a compounding flywheel. Each phase feeds the next: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Phase</w:t>
            </w:r>
          </w:p>
        </w:tc>
        <w:tc>
          <w:tcPr>
            <w:tcW w:type="dxa" w:w="32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Output</w:t>
            </w:r>
          </w:p>
        </w:tc>
        <w:tc>
          <w:tcPr>
            <w:tcW w:type="dxa" w:w="33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Feeds Into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Sprints 1-4 (Foundation)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Vault live, track record verified, wallet connect working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Credibility for all subsequent distribution</w:t>
            </w:r>
          </w:p>
        </w:tc>
      </w:tr>
      <w:tr>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Sprint 5 (Telegram)</w:t>
            </w:r>
          </w:p>
        </w:tc>
        <w:tc>
          <w:tcPr>
            <w:tcW w:type="dxa" w:w="3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Daily signal brief, resolution posts, viral image cards</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Top-of-funnel awareness for ICP #1 and ICP #2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Sprint 6 (Attribution)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Signal attribution trail visible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Case study content for ICP #1 marketing</w:t>
            </w:r>
          </w:p>
        </w:tc>
      </w:tr>
      <w:tr>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Sprint 7 (Institutional)</w:t>
            </w:r>
          </w:p>
        </w:tc>
        <w:tc>
          <w:tcPr>
            <w:tcW w:type="dxa" w:w="3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Demo flow, PDF reports</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High-value depositors for TVL growth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Sprints 8-9 (Builder + Gallery)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Backtesting, named strategies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Pro tier conversion, power user retention</w:t>
            </w:r>
          </w:p>
        </w:tc>
      </w:tr>
      <w:tr>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Sprint 10 (Pricing)</w:t>
            </w:r>
          </w:p>
        </w:tc>
        <w:tc>
          <w:tcPr>
            <w:tcW w:type="dxa" w:w="3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Revenue generation begins</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Funds marketing spend and audit costs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Sprint 11 (Partnerships)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Media placement, KOL advocacy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Brand awareness with target ICP audiences</w:t>
            </w:r>
          </w:p>
        </w:tc>
      </w:tr>
      <w:tr>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Sprint 12 (Mobile)</w:t>
            </w:r>
          </w:p>
        </w:tc>
        <w:tc>
          <w:tcPr>
            <w:tcW w:type="dxa" w:w="32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Mobile DAU growth</w:t>
            </w:r>
          </w:p>
        </w:tc>
        <w:tc>
          <w:tcPr>
            <w:tcW w:type="dxa" w:w="33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Retention and daily habit formation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160"/>
              <w:left w:type="dxa" w:w="240"/>
              <w:bottom w:type="dxa" w:w="160"/>
              <w:right w:type="dxa" w:w="240"/>
            </w:tcMar>
          </w:tcPr>
          <w:p>
            <w:r>
              <w:rPr>
                <w:rFonts w:ascii="Arial" w:cs="Arial" w:eastAsia="Arial" w:hAnsi="Arial"/>
                <w:b/>
                <w:bCs/>
                <w:color w:val="7B2FFF"/>
                <w:sz w:val="22"/>
                <w:szCs w:val="22"/>
              </w:rPr>
              <w:t xml:space="preserve">One-Line Summary</w:t>
            </w:r>
          </w:p>
          <w:p>
            <w:r>
              <w:rPr>
                <w:rFonts w:ascii="Arial" w:cs="Arial" w:eastAsia="Arial" w:hAnsi="Arial"/>
                <w:color w:val="1A1A2E"/>
                <w:sz w:val="22"/>
                <w:szCs w:val="22"/>
              </w:rPr>
              <w:t xml:space="preserve">Ship the vault and the track record. Prove the numbers are real. Then build the distribution machine around the proof. In that order — never reversed.</w:t>
            </w:r>
          </w:p>
        </w:tc>
      </w:tr>
    </w:tbl>
    <w:p>
      <w:pPr>
        <w:spacing w:after="80" w:before="80"/>
      </w:pPr>
      <w:r>
        <w:t xml:space="preserve"/>
      </w:r>
    </w:p>
    <w:p>
      <w:pPr>
        <w:pStyle w:val="Heading2"/>
        <w:spacing w:after="120" w:before="320"/>
      </w:pPr>
      <w:r>
        <w:rPr>
          <w:rFonts w:ascii="Arial" w:cs="Arial" w:eastAsia="Arial" w:hAnsi="Arial"/>
          <w:b/>
          <w:bCs/>
          <w:color w:val="0A0F1E"/>
          <w:sz w:val="28"/>
          <w:szCs w:val="28"/>
        </w:rPr>
        <w:t xml:space="preserve">7.5  Competitive Positioning — Maintained Through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Competitor</w:t>
            </w:r>
          </w:p>
        </w:tc>
        <w:tc>
          <w:tcPr>
            <w:tcW w:type="dxa" w:w="280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Their Strength</w:t>
            </w:r>
          </w:p>
        </w:tc>
        <w:tc>
          <w:tcPr>
            <w:tcW w:type="dxa" w:w="4560"/>
            <w:tcBorders>
              <w:top w:val="single" w:color="CBD5E1" w:sz="1"/>
              <w:left w:val="single" w:color="CBD5E1" w:sz="1"/>
              <w:bottom w:val="single" w:color="CBD5E1" w:sz="1"/>
              <w:right w:val="single" w:color="CBD5E1" w:sz="1"/>
            </w:tcBorders>
            <w:shd w:fill="0A1628"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NEXXORE Maintains Lead After Roadmap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Giza ARMA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$3.96B agent volume, stablecoin focus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Stablecoin Hub with risk-adjusted yield + macro regime overlay — Giza has no macro layer</w:t>
            </w:r>
          </w:p>
        </w:tc>
      </w:tr>
      <w:tr>
        <w:tc>
          <w:tcPr>
            <w:tcW w:type="dxa" w:w="2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Almanak</w:t>
            </w:r>
          </w:p>
        </w:tc>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Quant simulation depth, 100K+ users</w:t>
            </w:r>
          </w:p>
        </w:tc>
        <w:tc>
          <w:tcPr>
            <w:tcW w:type="dxa" w:w="4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Strategy Gallery + backtesting + Strategy Builder compete directly; NEXXORE adds geopolitical layer Almanak lacks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Olas / Polystrat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Prediction market presence, 4,200+ trades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Prediction Agent track record + Telegram channel + case studies — compete on verified performance, not just volume</w:t>
            </w:r>
          </w:p>
        </w:tc>
      </w:tr>
      <w:tr>
        <w:tc>
          <w:tcPr>
            <w:tcW w:type="dxa" w:w="2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NEYRO</w:t>
            </w:r>
          </w:p>
        </w:tc>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Non-custodial model, custody clarity</w:t>
            </w:r>
          </w:p>
        </w:tc>
        <w:tc>
          <w:tcPr>
            <w:tcW w:type="dxa" w:w="4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Wallet connect (Sprint 1) closes this gap — NEXXORE matches non-custodial and adds macro intelligence layer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Dawn (MoonPay)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Prediction market CLI, MoonPay distribution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NEXXORE's Prediction Agent + Track Record page is more transparent — compete on verifiability and multi-asset scope</w:t>
            </w:r>
          </w:p>
        </w:tc>
      </w:tr>
      <w:tr>
        <w:tc>
          <w:tcPr>
            <w:tcW w:type="dxa" w:w="20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Exchange toolkits</w:t>
            </w:r>
          </w:p>
        </w:tc>
        <w:tc>
          <w:tcPr>
            <w:tcW w:type="dxa" w:w="280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Commoditized execution infrastructure</w:t>
            </w:r>
          </w:p>
        </w:tc>
        <w:tc>
          <w:tcPr>
            <w:tcW w:type="dxa" w:w="4560"/>
            <w:tcBorders>
              <w:top w:val="single" w:color="CBD5E1" w:sz="1"/>
              <w:left w:val="single" w:color="CBD5E1" w:sz="1"/>
              <w:bottom w:val="single" w:color="CBD5E1" w:sz="1"/>
              <w:right w:val="single" w:color="CBD5E1" w:sz="1"/>
            </w:tcBorders>
            <w:shd w:fill="F7F9FF" w:val="clear"/>
            <w:tcMar>
              <w:top w:type="dxa" w:w="80"/>
              <w:left w:type="dxa" w:w="160"/>
              <w:bottom w:type="dxa" w:w="80"/>
              <w:right w:type="dxa" w:w="160"/>
            </w:tcMar>
          </w:tcPr>
          <w:p>
            <w:r>
              <w:rPr>
                <w:rFonts w:ascii="Arial" w:cs="Arial" w:eastAsia="Arial" w:hAnsi="Arial"/>
                <w:color w:val="1A1A2E"/>
                <w:sz w:val="20"/>
                <w:szCs w:val="20"/>
              </w:rPr>
              <w:t xml:space="preserve">NEXXORE's moat is the data-to-execution intelligence layer — not raw execution. This cannot be commoditized by Binance/OKX toolkits.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80"/>
    </w:pPr>
    <w:r>
      <w:rPr>
        <w:rFonts w:ascii="Arial" w:cs="Arial" w:eastAsia="Arial" w:hAnsi="Arial"/>
        <w:color w:val="6B7A99"/>
        <w:sz w:val="16"/>
        <w:szCs w:val="16"/>
      </w:rPr>
      <w:t xml:space="preserve">CONFIDENTIAL — NEXXORE INTERNAL  </w:t>
    </w:r>
    <w:r>
      <w:rPr>
        <w:rFonts w:ascii="Arial" w:cs="Arial" w:eastAsia="Arial" w:hAnsi="Arial"/>
        <w:sz w:val="16"/>
        <w:szCs w:val="16"/>
      </w:rPr>
      <w:t xml:space="preserve">	</w:t>
    </w:r>
    <w:r>
      <w:rPr>
        <w:rFonts w:ascii="Arial" w:cs="Arial" w:eastAsia="Arial" w:hAnsi="Arial"/>
        <w:color w:val="6B7A99"/>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F" w:sz="4" w:space="4"/>
      </w:pBdr>
      <w:spacing w:after="80"/>
    </w:pPr>
    <w:r>
      <w:rPr>
        <w:rFonts w:ascii="Arial" w:cs="Arial" w:eastAsia="Arial" w:hAnsi="Arial"/>
        <w:b/>
        <w:bCs/>
        <w:color w:val="0A0F1E"/>
        <w:sz w:val="18"/>
        <w:szCs w:val="18"/>
      </w:rPr>
      <w:t xml:space="preserve">NEXXORE</w:t>
    </w:r>
    <w:r>
      <w:rPr>
        <w:rFonts w:ascii="Arial" w:cs="Arial" w:eastAsia="Arial" w:hAnsi="Arial"/>
        <w:color w:val="6B7A99"/>
        <w:sz w:val="18"/>
        <w:szCs w:val="18"/>
      </w:rPr>
      <w:t xml:space="preserve">  |  Product Requirements Document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0F1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A0F1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7B2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2026-06-18T10:17:01.041Z</dcterms:created>
  <dcterms:modified xsi:type="dcterms:W3CDTF">2026-06-18T10:17:01.042Z</dcterms:modified>
</cp:coreProperties>
</file>

<file path=docProps/custom.xml><?xml version="1.0" encoding="utf-8"?>
<Properties xmlns="http://schemas.openxmlformats.org/officeDocument/2006/custom-properties" xmlns:vt="http://schemas.openxmlformats.org/officeDocument/2006/docPropsVTypes"/>
</file>