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openapi: 3.0.0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title: AlphaVantage Market Data API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description: Backend endpoints that fetch stock market data from AlphaVantage and return it to the frontend.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url: http://localhost:5000/api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description: Local Development 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/market/price/{symbol}: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summary: Get real-time stock price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description: Returns the latest stock price for a given symbol using AlphaVantage GLOBAL_QUOTE.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 name: symbol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example: AAPL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"200":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description: Stock price retrieved successfully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symbol: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type: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example: AAPL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price: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type: number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example: 172.35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lastUpdated: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type: 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format: date-time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"500":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description: Failed to fetch from AlphaVantage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/market/candle/{symbol}: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summary: Get intraday candlestick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description: Returns OHLC (open, high, low, close, volume) data from AlphaVantage TIME_SERIES_INTRADAY.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- name: symbol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example: MSFT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- name: interval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enum: [1min, 5min, 15min, 30min, 60min]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example: 5min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"200":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description: Candle data retrieved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symbol: { type: string, example: MSFT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interval: { type: string, example: 5min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candles: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type: object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properties: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time: { type: string, example: "2025-09-09T14:30:00Z"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open: { type: number, example: 327.50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high: { type: number, example: 328.10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low: { type: number, example: 326.80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close: { type: number, example: 327.95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volume: { type: integer, example: 154000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"500":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description: AlphaVantage API error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/market/top-gainers: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summary: Get top gainers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description: Returns a list of top gaining stocks using AlphaVantage Screener endpoint.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"200":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description: List of top gainers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type: object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properties: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symbol: { type: string, example: TSLA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price: { type: number, example: 250.45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changePercent: { type: number, example: 5.34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"500":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description: Failed to fetch from AlphaVantage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/market/top-losers: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summary: Get top losers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description: Returns a list of top losing stocks.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"200":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description: List of top losers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type: object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properties: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symbol: { type: string, example: NVDA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price: { type: number, example: 460.30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changePercent: { type: number, example: -3.21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"500":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description: Failed to fetch from AlphaVantage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/market/most-active: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summary: Get most active stocks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description: Returns a list of most traded stocks by volume.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"200":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description: Most active stocks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type: object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properties: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symbol: { type: string, example: AAPL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price: { type: number, example: 172.00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volume: { type: integer, example: 85432000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"500":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description: Failed to fetch from AlphaVantage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