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A1A1F"/>
          <w:sz w:val="52"/>
          <w:szCs w:val="52"/>
        </w:rPr>
        <w:t xml:space="preserve">ENTERPRISE HR PORTAL</w:t>
      </w:r>
    </w:p>
    <w:p>
      <w:pPr>
        <w:spacing w:before="120"/>
        <w:jc w:val="center"/>
      </w:pPr>
      <w:r>
        <w:rPr>
          <w:b/>
          <w:bCs/>
          <w:color w:val="3A66DB"/>
          <w:sz w:val="30"/>
          <w:szCs w:val="30"/>
        </w:rPr>
        <w:t xml:space="preserve">Dashboard — Feature &amp; Design Specification</w:t>
      </w:r>
    </w:p>
    <w:p>
      <w:pPr>
        <w:spacing w:before="400"/>
        <w:jc w:val="center"/>
      </w:pPr>
      <w:r>
        <w:rPr>
          <w:color w:val="6B6F76"/>
          <w:sz w:val="20"/>
          <w:szCs w:val="20"/>
        </w:rPr>
        <w:t xml:space="preserve">Version 1.0  |  Draft for Review</w:t>
      </w:r>
    </w:p>
    <w:p>
      <w:pPr>
        <w:spacing w:before="60"/>
        <w:jc w:val="center"/>
      </w:pPr>
      <w:r>
        <w:rPr>
          <w:color w:val="6B6F76"/>
          <w:sz w:val="20"/>
          <w:szCs w:val="20"/>
        </w:rPr>
        <w:t xml:space="preserve">Prepared: July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1. Executive Summary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This document specifies the features, data model, screen layout, access control, and delivery plan for an Enterprise HR Portal Dashboard. The portal acts as a single system of record for every employee across their lifecycle — from offer and onboarding documents through background verification, insurance and benefits, team structure, and internal HR policy access. It is designed for organizations that need a secure, role-based, audit-friendly HR system rather than a collection of spreadsheets and shared folders.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The specification below is organized so it can be handed directly to a design or engineering team: each module lists its data fields, screen behavior, and access rules. A wireframe of the primary dashboard screen is included in Section 4.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2. Objectives &amp; Scope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Single source of truth: </w:t>
      </w:r>
      <w:r>
        <w:rPr>
          <w:color w:val="2B2B30"/>
          <w:sz w:val="21"/>
          <w:szCs w:val="21"/>
        </w:rPr>
        <w:t xml:space="preserve">centralize employee master data, documents, insurance, and team information that today likely lives across email, spreadsheets, and paper files.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Self-service: </w:t>
      </w:r>
      <w:r>
        <w:rPr>
          <w:color w:val="2B2B30"/>
          <w:sz w:val="21"/>
          <w:szCs w:val="21"/>
        </w:rPr>
        <w:t xml:space="preserve">employees can view their own profile, documents, insurance card, and HR policies without raising a ticket with HR.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HR efficiency: </w:t>
      </w:r>
      <w:r>
        <w:rPr>
          <w:color w:val="2B2B30"/>
          <w:sz w:val="21"/>
          <w:szCs w:val="21"/>
        </w:rPr>
        <w:t xml:space="preserve">HR/Admin users get bulk views, verification tracking, and document status at a glance instead of chasing folders.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Security by design: </w:t>
      </w:r>
      <w:r>
        <w:rPr>
          <w:color w:val="2B2B30"/>
          <w:sz w:val="21"/>
          <w:szCs w:val="21"/>
        </w:rPr>
        <w:t xml:space="preserve">sensitive fields (blood group, insurance, background verification, personal address) are access-controlled and audit-logged, not open to every logged-in user.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Out of scope for v1: </w:t>
      </w:r>
      <w:r>
        <w:rPr>
          <w:color w:val="2B2B30"/>
          <w:sz w:val="21"/>
          <w:szCs w:val="21"/>
        </w:rPr>
        <w:t xml:space="preserve">payroll processing, leave/attendance biometric integration, and performance appraisal workflows — these are natural Phase 2 modules and are noted in Section 9 but not detailed here.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3. User Roles &amp; Access Control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The portal uses role-based access control (RBAC). A permission matrix keeps sensitive data (insurance, BGV, blood group, salary-adjacent fields) restricted even from users who can see the rest of a profile.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  <w:gridCol w:w="2960"/>
      </w:tblGrid>
      <w:tr>
        <w:trPr>
          <w:tblHeader/>
        </w:trPr>
        <w:tc>
          <w:tcPr>
            <w:tcW w:type="dxa" w:w="26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View</w:t>
            </w:r>
          </w:p>
        </w:tc>
        <w:tc>
          <w:tcPr>
            <w:tcW w:type="dxa" w:w="32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Edit</w:t>
            </w:r>
          </w:p>
        </w:tc>
        <w:tc>
          <w:tcPr>
            <w:tcW w:type="dxa" w:w="296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Restricted From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Employee (Self)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Own full profile, own documents, own insurance, own team, all HR policies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Personal contact info, upload own documents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Other employees' data, BGV internal notes</w:t>
            </w:r>
          </w:p>
        </w:tc>
      </w:tr>
      <w:tr>
        <w:tc>
          <w:tcPr>
            <w:tcW w:type="dxa" w:w="26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Reporting Manager</w:t>
            </w:r>
          </w:p>
        </w:tc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Direct reports: name, role, contact, team structure</w:t>
            </w:r>
          </w:p>
        </w:tc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Team assignment notes, performance tags (if enabled)</w:t>
            </w:r>
          </w:p>
        </w:tc>
        <w:tc>
          <w:tcPr>
            <w:tcW w:type="dxa" w:w="29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Reports' insurance, salary, BGV details, blood group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HR Executive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All employee profiles, documents, BGV status, insurance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Document status, BGV status, insurance records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System configuration, role/permission settings</w:t>
            </w:r>
          </w:p>
        </w:tc>
      </w:tr>
      <w:tr>
        <w:tc>
          <w:tcPr>
            <w:tcW w:type="dxa" w:w="26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HR Admin</w:t>
            </w:r>
          </w:p>
        </w:tc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Everything HR Executive sees + audit logs + policy library</w:t>
            </w:r>
          </w:p>
        </w:tc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All HR data, policy documents, user roles</w:t>
            </w:r>
          </w:p>
        </w:tc>
        <w:tc>
          <w:tcPr>
            <w:tcW w:type="dxa" w:w="29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System Admin / IT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User accounts, role assignments, system logs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Roles, integrations, security settings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Cannot view HR-sensitive fields unless explicitly granted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4. Dashboard Layout — Primary Screen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Below is the primary dashboard screen an HR user sees after login, styled to match the approved visual direction: dark indigo sidebar navigation, KPI summary cards with icon badges, a headcount trend chart, a department breakdown donut, and quick-glance panels for approvals, joiners, policy updates, and events.</w:t>
      </w:r>
    </w:p>
    <w:p>
      <w:pPr>
        <w:spacing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6F76"/>
          <w:sz w:val="18"/>
          <w:szCs w:val="18"/>
        </w:rPr>
        <w:t xml:space="preserve">Fig. 1 — Dashboard Home: KPI cards, headcount trend, department breakdown, and quick-access panels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Layout notes: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Left sidebar is persistent across all screens; the active section is highlighted in indigo.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Top bar includes global employee search (by name, Emp ID, email, or department), notification and message icons, and the logged-in user's profile menu.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KPI cards surface counts that need action — new joiners, pending BGV, insurance pending, expiring documents — each with a trend indicator vs. the prior month.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The bottom compliance strip highlights time-sensitive items (expiring documents, renewals, pending acknowledgements) so nothing slips through HR's queue.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Employees see a simplified version of this same layout scoped to their own data — no KPI cards, no other-employee search.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5. Core Modules &amp; Feature Detail</w:t>
      </w:r>
    </w:p>
    <w:p>
      <w:pPr>
        <w:pStyle w:val="Heading2"/>
        <w:spacing w:after="140" w:before="280"/>
      </w:pPr>
      <w:r>
        <w:rPr>
          <w:b/>
          <w:bCs/>
          <w:color w:val="1A1A1F"/>
          <w:sz w:val="24"/>
          <w:szCs w:val="24"/>
        </w:rPr>
        <w:t xml:space="preserve">5.1 Employee Master Profile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The core record every other module attaches 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Employee Name, Employee ID (auto-generated, immutable), Photo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Department, Designation, Employment Type (Full-time/Intern/Contract), Date of Joining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Personal Address, Blood Group, Emergency Contact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Personal Email ID and Official Email ID (shown as separate, clearly labeled fields)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Reporting Manager and Team (linked to Section 5.6)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Merit List / Selection Status (e.g., Shortlisted, Selected, Offer Extended, Joined) shown as a status badge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Profile is versioned — HR edits are logged with timestamp and editor identity (audit trail)</w:t>
      </w:r>
    </w:p>
    <w:p>
      <w:pPr>
        <w:spacing w:before="160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6F76"/>
          <w:sz w:val="18"/>
          <w:szCs w:val="18"/>
        </w:rPr>
        <w:t xml:space="preserve">Fig. 2 — Employee Directory: searchable table with BGV and document status badges per row</w:t>
      </w:r>
    </w:p>
    <w:p>
      <w:pPr>
        <w:pStyle w:val="Heading2"/>
        <w:spacing w:after="140" w:before="280"/>
      </w:pPr>
      <w:r>
        <w:rPr>
          <w:b/>
          <w:bCs/>
          <w:color w:val="1A1A1F"/>
          <w:sz w:val="24"/>
          <w:szCs w:val="24"/>
        </w:rPr>
        <w:t xml:space="preserve">5.2 Document Repository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A per-employee document vault with status tracking, not just file storage.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Document types: Resume, Offer Letter, Appointment Letter, Educational Certificates, ID Proof (Aadhaar/PAN/Passport), Address Proof, Previous Employment Letters, and a configurable custom document type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Each document has a status: Pending Upload / Submitted / Verified / Rejected (with reason) / Expired (for time-bound documents)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Version history per document (e.g., a re-uploaded corrected offer letter keeps prior versions accessible to HR)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Bulk download (zip) for HR Admin per employee or per department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Preview in-browser for PDF/image files; no forced download needed to check a document</w:t>
      </w:r>
    </w:p>
    <w:p>
      <w:pPr>
        <w:spacing w:before="160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6F76"/>
          <w:sz w:val="18"/>
          <w:szCs w:val="18"/>
        </w:rPr>
        <w:t xml:space="preserve">Fig. 3 — Document Vault: card grid with per-document verification status and version metadata</w:t>
      </w:r>
    </w:p>
    <w:p>
      <w:pPr>
        <w:pStyle w:val="Heading2"/>
        <w:spacing w:after="140" w:before="280"/>
      </w:pPr>
      <w:r>
        <w:rPr>
          <w:b/>
          <w:bCs/>
          <w:color w:val="1A1A1F"/>
          <w:sz w:val="24"/>
          <w:szCs w:val="24"/>
        </w:rPr>
        <w:t xml:space="preserve">5.3 Background Verification (BGV) Tracker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Status pipeline: Initiated → In Progress (per-check: Education, Employment, Address, Criminal, Reference) → Cleared / Flagged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Each check shows the verifying agency, date initiated, and date completed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Flagged results route to an HR-only note field — never visible to the employee's manager or the employee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BGV status is one of the KPI cards on the HR dashboard home screen</w:t>
      </w:r>
    </w:p>
    <w:p>
      <w:pPr>
        <w:spacing w:before="160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6F76"/>
          <w:sz w:val="18"/>
          <w:szCs w:val="18"/>
        </w:rPr>
        <w:t xml:space="preserve">Fig. 4 — BGV Tracker: step pipeline per check type, with an HR-only notes panel</w:t>
      </w:r>
    </w:p>
    <w:p>
      <w:pPr>
        <w:pStyle w:val="Heading2"/>
        <w:spacing w:after="140" w:before="280"/>
      </w:pPr>
      <w:r>
        <w:rPr>
          <w:b/>
          <w:bCs/>
          <w:color w:val="1A1A1F"/>
          <w:sz w:val="24"/>
          <w:szCs w:val="24"/>
        </w:rPr>
        <w:t xml:space="preserve">5.4 Insurance &amp; Benefits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This is the most data-sensitive module and needs the tightest field-level access control.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Policy details: Policy Number, Insurer/TPA name, Sum Insured, Plan type, Premium (employer-paid vs employee contribution), Policy validity dates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Digital Insurance Card: viewable and downloadable, generated per covered individual (employee + each dependent)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Covered Family Members: relationship, name, date of birth, and their own card ID — added/edited by employee, verified by HR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Coverage/Benefits breakdown: a clear checklist view of what's included (e.g., Hospitalization, OPD, Maternity, Dental, Vision, Critical Illness rider) so the employee doesn't have to read a policy PDF to know what's covered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Claim status tracker (optional Phase 1.5): submitted claims and their settlement status, if the insurer/TPA provides an API or the org tracks it manually</w:t>
      </w:r>
    </w:p>
    <w:p>
      <w:pPr>
        <w:pStyle w:val="Heading2"/>
        <w:spacing w:after="140" w:before="280"/>
      </w:pPr>
      <w:r>
        <w:rPr>
          <w:b/>
          <w:bCs/>
          <w:color w:val="1A1A1F"/>
          <w:sz w:val="24"/>
          <w:szCs w:val="24"/>
        </w:rPr>
        <w:t xml:space="preserve">5.5 HR Policies Library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Categorized policy documents (Leave Policy, Code of Conduct, WFH Policy, Reimbursement Policy, POSH Policy, etc.)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Version-stamped — employees always see the current policy; superseded versions are archived, not deleted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Acknowledgement tracking: HR can require an employee to click 'I have read and understood' on a policy, with a timestamped log for compliance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Full-text search across all policy documents</w:t>
      </w:r>
    </w:p>
    <w:p>
      <w:pPr>
        <w:spacing w:before="160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6F76"/>
          <w:sz w:val="18"/>
          <w:szCs w:val="18"/>
        </w:rPr>
        <w:t xml:space="preserve">Fig. 6 — HR Policies Library: version tracking with per-employee acknowledgement status</w:t>
      </w:r>
    </w:p>
    <w:p>
      <w:pPr>
        <w:pStyle w:val="Heading2"/>
        <w:spacing w:after="140" w:before="280"/>
      </w:pPr>
      <w:r>
        <w:rPr>
          <w:b/>
          <w:bCs/>
          <w:color w:val="1A1A1F"/>
          <w:sz w:val="24"/>
          <w:szCs w:val="24"/>
        </w:rPr>
        <w:t xml:space="preserve">5.6 Team &amp; Org Structure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Each employee's profile shows their reporting manager and direct reports (if any), rendered as a simple org-chart snippet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Team roster view: name, designation, contact, and status (Active/On Leave) for each team member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Manager view aggregates their team's document/BGV/insurance completion status without exposing sensitive field values</w:t>
      </w:r>
    </w:p>
    <w:p>
      <w:pPr>
        <w:spacing w:before="160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B6F76"/>
          <w:sz w:val="18"/>
          <w:szCs w:val="18"/>
        </w:rPr>
        <w:t xml:space="preserve">Fig. 5 — Team &amp; Org Structure: reporting line above, direct reports below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6. Data Security &amp; Compliance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Given the volume of sensitive personal data (health/insurance info, government ID documents, blood group, background verification results), the following are treated as non-negotiable for an enterprise deployment: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Field-level encryption at rest for blood group, insurance, and BGV data; encryption in transit (TLS) everywhere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RBAC enforced at the API layer, not just hidden in the UI — a manager's API calls should not be able to fetch a report's insurance record even by direct request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Full audit log: every view/edit of sensitive fields records who, what, and when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Document storage with signed, time-expiring URLs rather than permanently public file links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Data retention and deletion policy aligned with India's Digital Personal Data Protection (DPDP) Act, 2023 — since this handles Indian employees' personal and sensitive data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Two-factor authentication for HR Admin and System Admin roles at minimum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7. Authentication &amp; Validation System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Every login attempt, session, and file upload passes through a validation layer before it touches employee data. This section details the mechanics behind the access rules in Section 3 and the security posture in Section 6.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Official Email / Employee ID login: </w:t>
      </w:r>
      <w:r>
        <w:rPr>
          <w:color w:val="2B2B30"/>
          <w:sz w:val="21"/>
          <w:szCs w:val="21"/>
        </w:rPr>
        <w:t xml:space="preserve">employees sign in with their official company email or Employee ID plus password; a personal email is never accepted as a login identifier, and the field is format-validated before submission.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Strong password validation: </w:t>
      </w:r>
      <w:r>
        <w:rPr>
          <w:color w:val="2B2B30"/>
          <w:sz w:val="21"/>
          <w:szCs w:val="21"/>
        </w:rPr>
        <w:t xml:space="preserve">minimum 10 characters, requiring at least one uppercase letter, one number, and one special character; passwords are hashed (bcrypt/argon2) and never stored or logged in plain text.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Multi-factor authentication (MFA): </w:t>
      </w:r>
      <w:r>
        <w:rPr>
          <w:color w:val="2B2B30"/>
          <w:sz w:val="21"/>
          <w:szCs w:val="21"/>
        </w:rPr>
        <w:t xml:space="preserve">Email OTP or authenticator app (TOTP), required on every login for HR Admin and System Admin per the two-factor rule in Section 6, and available as an opt-in for all other roles.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JWT-based session authentication: </w:t>
      </w:r>
      <w:r>
        <w:rPr>
          <w:color w:val="2B2B30"/>
          <w:sz w:val="21"/>
          <w:szCs w:val="21"/>
        </w:rPr>
        <w:t xml:space="preserve">short-lived access tokens (~15 minutes) paired with rotating refresh tokens; each token carries the user's role claim so the backend can re-check permissions on every request, not just at login.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Role-based access re-validation: </w:t>
      </w:r>
      <w:r>
        <w:rPr>
          <w:color w:val="2B2B30"/>
          <w:sz w:val="21"/>
          <w:szCs w:val="21"/>
        </w:rPr>
        <w:t xml:space="preserve">every API call re-validates the caller's role and record-level permissions server-side, consistent with the API-layer RBAC enforcement described in Section 6.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Account lockout: </w:t>
      </w:r>
      <w:r>
        <w:rPr>
          <w:color w:val="2B2B30"/>
          <w:sz w:val="21"/>
          <w:szCs w:val="21"/>
        </w:rPr>
        <w:t xml:space="preserve">account locks for 15 minutes after 5 consecutive failed login attempts; HR Admin can manually unlock an account before the cooldown ends.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CAPTCHA on repeated failures: </w:t>
      </w:r>
      <w:r>
        <w:rPr>
          <w:color w:val="2B2B30"/>
          <w:sz w:val="21"/>
          <w:szCs w:val="21"/>
        </w:rPr>
        <w:t xml:space="preserve">a CAPTCHA challenge appears after 3 failed attempts, before lockout, to block automated credential-stuffing attempts.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Session timeout: </w:t>
      </w:r>
      <w:r>
        <w:rPr>
          <w:color w:val="2B2B30"/>
          <w:sz w:val="21"/>
          <w:szCs w:val="21"/>
        </w:rPr>
        <w:t xml:space="preserve">sessions expire after 30 minutes of inactivity for all roles, dropping to 15 minutes on screens showing insurance, BGV, or salary-adjacent data.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Login and access audit logs: </w:t>
      </w:r>
      <w:r>
        <w:rPr>
          <w:color w:val="2B2B30"/>
          <w:sz w:val="21"/>
          <w:szCs w:val="21"/>
        </w:rPr>
        <w:t xml:space="preserve">every login attempt (success and failure), password reset, and MFA challenge is written to the audit log described in Section 6, with timestamp, IP address, and device fingerprint.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A1A1F"/>
          <w:sz w:val="21"/>
          <w:szCs w:val="21"/>
        </w:rPr>
        <w:t xml:space="preserve">Secure document upload validation: </w:t>
      </w:r>
      <w:r>
        <w:rPr>
          <w:color w:val="2B2B30"/>
          <w:sz w:val="21"/>
          <w:szCs w:val="21"/>
        </w:rPr>
        <w:t xml:space="preserve">uploads pass a file-type allow-list (PDF, JPG, PNG only), MIME-type verification independent of the file extension, a size cap (10 MB), and a malware scan before being written to the document vault in Section 5.2.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8. Suggested Technical Approach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Aligned to a stack you're already comfortable with, so this can move quickly from spec to build: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5760"/>
      </w:tblGrid>
      <w:tr>
        <w:trPr>
          <w:tblHeader/>
        </w:trPr>
        <w:tc>
          <w:tcPr>
            <w:tcW w:type="dxa" w:w="24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Choice</w:t>
            </w:r>
          </w:p>
        </w:tc>
        <w:tc>
          <w:tcPr>
            <w:tcW w:type="dxa" w:w="576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React + Vite, Tailwind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Component-driven; matches the tabbed dashboard layout in Fig. 1</w:t>
            </w:r>
          </w:p>
        </w:tc>
      </w:tr>
      <w:tr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57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RBAC middleware, Pydantic models per module (Profile, Documents, Insurance, BGV, Policies)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Relational fit for employee↔documents↔insurance↔team relationships; row-level security for sensitive tables</w:t>
            </w:r>
          </w:p>
        </w:tc>
      </w:tr>
      <w:tr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File/Document Storage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Object storage (S3-compatible or GCP Cloud Storage)</w:t>
            </w:r>
          </w:p>
        </w:tc>
        <w:tc>
          <w:tcPr>
            <w:tcW w:type="dxa" w:w="57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Signed URLs, versioned buckets for document history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OAuth2 / JWT + SSO (Azure AD or Google Workspace)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Enterprise SSO avoids a second password to manage</w:t>
            </w:r>
          </w:p>
        </w:tc>
      </w:tr>
      <w:tr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Docker Compose → GCP / Render</w:t>
            </w:r>
          </w:p>
        </w:tc>
        <w:tc>
          <w:tcPr>
            <w:tcW w:type="dxa" w:w="57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Matches your existing Dockerized deployment pattern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9. Suggested Delivery Roadmap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Structured as sprints, consistent with an agile delivery approach: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6360"/>
      </w:tblGrid>
      <w:tr>
        <w:trPr>
          <w:tblHeader/>
        </w:trPr>
        <w:tc>
          <w:tcPr>
            <w:tcW w:type="dxa" w:w="18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36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2 weeks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Auth + RBAC, Employee master profile CRUD, base dashboard shell/navigation</w:t>
            </w:r>
          </w:p>
        </w:tc>
      </w:tr>
      <w:tr>
        <w:tc>
          <w:tcPr>
            <w:tcW w:type="dxa" w:w="1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3 weeks</w:t>
            </w:r>
          </w:p>
        </w:tc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Documents &amp; BGV</w:t>
            </w:r>
          </w:p>
        </w:tc>
        <w:tc>
          <w:tcPr>
            <w:tcW w:type="dxa" w:w="63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Document upload/versioning/status, BGV pipeline tracker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2 weeks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Insurance &amp; Team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Insurance module + digital card generation, team/org structure views</w:t>
            </w:r>
          </w:p>
        </w:tc>
      </w:tr>
      <w:tr>
        <w:tc>
          <w:tcPr>
            <w:tcW w:type="dxa" w:w="1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2 weeks</w:t>
            </w:r>
          </w:p>
        </w:tc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Policies &amp; Reporting</w:t>
            </w:r>
          </w:p>
        </w:tc>
        <w:tc>
          <w:tcPr>
            <w:tcW w:type="dxa" w:w="63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Policy library with acknowledgement tracking, HR KPI dashboard/reports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Sprint 5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2 weeks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Hardening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Audit logging, field-level encryption, DPDP compliance review, load testing</w:t>
            </w:r>
          </w:p>
        </w:tc>
      </w:tr>
    </w:tbl>
    <w:p>
      <w:pPr>
        <w:spacing w:after="140" w:line="300"/>
      </w:pPr>
      <w:r>
        <w:rPr>
          <w:color w:val="2B2B30"/>
          <w:sz w:val="21"/>
          <w:szCs w:val="21"/>
        </w:rPr>
        <w:t xml:space="preserve">Phase 2 (post-v1) candidates: payroll integration, leave/attendance, performance appraisal workflows, and a claims-status integration with the insurance TPA's API.</w:t>
      </w:r>
    </w:p>
    <w:p>
      <w:pPr>
        <w:spacing w:after="140" w:line="300"/>
      </w:pPr>
      <w:r>
        <w:rPr>
          <w:b/>
          <w:bCs/>
          <w:color w:val="1A1A1F"/>
          <w:sz w:val="21"/>
          <w:szCs w:val="21"/>
        </w:rPr>
        <w:t xml:space="preserve">Estimated Total Build Duration: </w:t>
      </w:r>
      <w:r>
        <w:rPr>
          <w:color w:val="2B2B30"/>
          <w:sz w:val="21"/>
          <w:szCs w:val="21"/>
        </w:rPr>
        <w:t xml:space="preserve">10–11 weeks (roughly 2.5–3 months) across Sprints 1–5, running back-to-back with one team. This excludes stakeholder review cycles, UAT, and any buffer for scope changes — add 1–2 weeks of contingency when committing to an external deadline.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10. Estimated Costs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The figures below are the infrastructure-only cost of standing up an in-house MVP on the open-source stack from Section 8, priced in India. They cover hosting and services, not the sprint labor in Section 9 or any third-party licensing.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5760"/>
      </w:tblGrid>
      <w:tr>
        <w:trPr>
          <w:tblHeader/>
        </w:trPr>
        <w:tc>
          <w:tcPr>
            <w:tcW w:type="dxa" w:w="24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5760"/>
            <w:shd w:fill="3A6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₹800–1,500/year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Company domain</w:t>
            </w:r>
          </w:p>
        </w:tc>
      </w:tr>
      <w:tr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₹1,500–5,000/month</w:t>
            </w:r>
          </w:p>
        </w:tc>
        <w:tc>
          <w:tcPr>
            <w:tcW w:type="dxa" w:w="57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Application server; scales with headcount, sized during Sprint 5 load testing (Section 9)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₹200–1,000/month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Employee documents and insurance cards (Sections 5.2, 5.4)</w:t>
            </w:r>
          </w:p>
        </w:tc>
      </w:tr>
      <w:tr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₹0–1,000/month</w:t>
            </w:r>
          </w:p>
        </w:tc>
        <w:tc>
          <w:tcPr>
            <w:tcW w:type="dxa" w:w="57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Official emails and MFA OTP delivery (Section 7)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Let's Encrypt</w:t>
            </w:r>
          </w:p>
        </w:tc>
      </w:tr>
      <w:tr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Included / ₹0–500/month</w:t>
            </w:r>
          </w:p>
        </w:tc>
        <w:tc>
          <w:tcPr>
            <w:tcW w:type="dxa" w:w="57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Self-hosted PostgreSQL (Section 8)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Docker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Containerization (Section 8 deployment)</w:t>
            </w:r>
          </w:p>
        </w:tc>
      </w:tr>
      <w:tr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GitHub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30"/>
                <w:sz w:val="20"/>
                <w:szCs w:val="20"/>
              </w:rPr>
              <w:t xml:space="preserve">Source control</w:t>
            </w:r>
          </w:p>
        </w:tc>
      </w:tr>
    </w:tbl>
    <w:p>
      <w:pPr>
        <w:spacing w:after="140" w:line="300"/>
      </w:pPr>
      <w:r>
        <w:rPr>
          <w:b/>
          <w:bCs/>
          <w:color w:val="1A1A1F"/>
          <w:sz w:val="21"/>
          <w:szCs w:val="21"/>
        </w:rPr>
        <w:t xml:space="preserve">Estimated Initial Setup Budget: ₹2,500–₹8,000</w:t>
      </w:r>
    </w:p>
    <w:p>
      <w:pPr>
        <w:spacing w:after="140" w:line="300"/>
      </w:pPr>
      <w:r>
        <w:rPr>
          <w:color w:val="2B2B30"/>
          <w:sz w:val="21"/>
          <w:szCs w:val="21"/>
        </w:rPr>
        <w:t xml:space="preserve">This assumes the HRMS is developed in-house on the open-source stack in Section 8. It covers infrastructure only: recurring hosting/services run roughly ₹1,700–7,500/month once live. Third-party enterprise licensing (e.g., Azure AD or Google Workspace SSO seats), agency development, and the sprint labor costed in Section 9 are intentionally excluded and should be budgeted separately. Section 9 also lists the estimated build duration (10–11 weeks) alongside each sprint's deliverables.</w:t>
      </w:r>
    </w:p>
    <w:p>
      <w:pPr>
        <w:pStyle w:val="Heading1"/>
        <w:spacing w:after="200" w:before="400"/>
      </w:pPr>
      <w:r>
        <w:rPr>
          <w:b/>
          <w:bCs/>
          <w:color w:val="3A66DB"/>
          <w:sz w:val="30"/>
          <w:szCs w:val="30"/>
        </w:rPr>
        <w:t xml:space="preserve">11. Next Steps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Confirm the role list in Section 3 matches your actual org structure (e.g., do you need a separate 'Finance' role for insurance premium visibility?)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Confirm document types list in Section 5.2 is complete for your organization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B2B30"/>
          <w:sz w:val="21"/>
          <w:szCs w:val="21"/>
        </w:rPr>
        <w:t xml:space="preserve">I can build a clickable HTML/React mockup of the screen in Fig. 1 next, or move straight into Sprint 1 scaffolding (FastAPI + PostgreSQL schema + React shell) — happy to start on either.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c7cbda2443aa28b1f289c7aa282075213d8959.png"/><Relationship Id="rId8" Type="http://schemas.openxmlformats.org/officeDocument/2006/relationships/image" Target="media/94227256cf6cc35aa7a55619a82a934dacedc5b7.png"/><Relationship Id="rId9" Type="http://schemas.openxmlformats.org/officeDocument/2006/relationships/image" Target="media/f22a884bdf2cb7ca04ead45a470384fd2e7c93a7.png"/><Relationship Id="rId10" Type="http://schemas.openxmlformats.org/officeDocument/2006/relationships/image" Target="media/bce8fda3c9c9fa6d3c6019935d464d0d2b93d996.png"/><Relationship Id="rId11" Type="http://schemas.openxmlformats.org/officeDocument/2006/relationships/image" Target="media/5e22b5eb49c2d36a86cb65c8268b4c083a71856c.png"/><Relationship Id="rId12" Type="http://schemas.openxmlformats.org/officeDocument/2006/relationships/image" Target="media/2eece2b3d8f91edd3d625b1d91c48b20f27a9cf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2026-07-01T09:12:42.457Z</dcterms:created>
  <dcterms:modified xsi:type="dcterms:W3CDTF">2026-07-01T09:12:42.457Z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