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pPr>
      <w:r>
        <w:rPr>
          <w:b/>
          <w:bCs/>
          <w:color w:val="C4651C"/>
          <w:spacing w:val="60"/>
          <w:sz w:val="22"/>
          <w:szCs w:val="22"/>
        </w:rPr>
        <w:t xml:space="preserve">DATA ANALYSIS STRATEGY &amp; PLANNING</w:t>
      </w:r>
    </w:p>
    <w:p>
      <w:pPr>
        <w:spacing w:after="60"/>
      </w:pPr>
      <w:r>
        <w:rPr>
          <w:b/>
          <w:bCs/>
          <w:color w:val="1F5F3A"/>
          <w:sz w:val="88"/>
          <w:szCs w:val="88"/>
        </w:rPr>
        <w:t xml:space="preserve">Project FOODFLOW</w:t>
      </w:r>
    </w:p>
    <w:p>
      <w:pPr>
        <w:pBdr>
          <w:bottom w:val="single" w:color="E8833A" w:sz="18" w:space="12"/>
        </w:pBdr>
        <w:spacing w:after="240"/>
      </w:pPr>
      <w:r>
        <w:rPr>
          <w:color w:val="555555"/>
          <w:sz w:val="30"/>
          <w:szCs w:val="30"/>
        </w:rPr>
        <w:t xml:space="preserve">Decoding production efficiency in virtual food processing with advanced Excel</w:t>
      </w:r>
    </w:p>
    <w:p>
      <w:pPr>
        <w:spacing w:after="40" w:before="200"/>
      </w:pPr>
      <w:r>
        <w:rPr>
          <w:b/>
          <w:bCs/>
          <w:sz w:val="22"/>
          <w:szCs w:val="22"/>
        </w:rPr>
        <w:t xml:space="preserve">Prepared by: </w:t>
      </w:r>
      <w:r>
        <w:rPr>
          <w:sz w:val="22"/>
          <w:szCs w:val="22"/>
        </w:rPr>
        <w:t xml:space="preserve">Ayush Yadav</w:t>
      </w:r>
    </w:p>
    <w:p>
      <w:pPr>
        <w:spacing w:after="40"/>
      </w:pPr>
      <w:r>
        <w:rPr>
          <w:b/>
          <w:bCs/>
          <w:sz w:val="22"/>
          <w:szCs w:val="22"/>
        </w:rPr>
        <w:t xml:space="preserve">Date: </w:t>
      </w:r>
      <w:r>
        <w:rPr>
          <w:sz w:val="22"/>
          <w:szCs w:val="22"/>
        </w:rPr>
        <w:t xml:space="preserve">14 October 2026</w:t>
      </w:r>
    </w:p>
    <w:p>
      <w:pPr>
        <w:spacing w:after="360"/>
      </w:pPr>
      <w:r>
        <w:rPr>
          <w:b/>
          <w:bCs/>
          <w:sz w:val="22"/>
          <w:szCs w:val="22"/>
        </w:rPr>
        <w:t xml:space="preserve">Primary tool: </w:t>
      </w:r>
      <w:r>
        <w:rPr>
          <w:sz w:val="22"/>
          <w:szCs w:val="22"/>
        </w:rPr>
        <w:t xml:space="preserve">Microsoft Excel (Power Query, PivotTables, dynamic arrays, what-if tools)</w:t>
      </w:r>
    </w:p>
    <w:p>
      <w:pPr>
        <w:spacing w:after="100"/>
      </w:pPr>
      <w:r>
        <w:rPr>
          <w:b/>
          <w:bCs/>
          <w:color w:val="1F5F3A"/>
          <w:spacing w:val="40"/>
          <w:sz w:val="20"/>
          <w:szCs w:val="20"/>
        </w:rPr>
        <w:t xml:space="preserve">THE PLAN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c>
          <w:tcPr>
            <w:tcW w:type="dxa" w:w="2410"/>
            <w:tcBorders>
              <w:top w:val="none" w:color="FFFFFF" w:sz="0"/>
              <w:left w:val="none" w:color="FFFFFF" w:sz="0"/>
              <w:bottom w:val="none" w:color="FFFFFF" w:sz="0"/>
              <w:right w:val="single" w:color="FFFFFF" w:sz="12"/>
            </w:tcBorders>
            <w:shd w:fill="E6F2EA" w:color="auto" w:val="clear"/>
            <w:tcMar>
              <w:top w:type="dxa" w:w="160"/>
              <w:left w:type="dxa" w:w="140"/>
              <w:bottom w:type="dxa" w:w="160"/>
              <w:right w:type="dxa" w:w="140"/>
            </w:tcMar>
          </w:tcPr>
          <w:p>
            <w:pPr>
              <w:spacing w:after="30"/>
            </w:pPr>
            <w:r>
              <w:rPr>
                <w:b/>
                <w:bCs/>
                <w:color w:val="1F5F3A"/>
                <w:sz w:val="44"/>
                <w:szCs w:val="44"/>
              </w:rPr>
              <w:t xml:space="preserve">33 hrs</w:t>
            </w:r>
          </w:p>
          <w:p>
            <w:r>
              <w:rPr>
                <w:color w:val="555555"/>
                <w:sz w:val="18"/>
                <w:szCs w:val="18"/>
              </w:rPr>
              <w:t xml:space="preserve">estimated workload across 8 phases</w:t>
            </w:r>
          </w:p>
        </w:tc>
        <w:tc>
          <w:tcPr>
            <w:tcW w:type="dxa" w:w="2409"/>
            <w:tcBorders>
              <w:top w:val="none" w:color="FFFFFF" w:sz="0"/>
              <w:left w:val="none" w:color="FFFFFF" w:sz="0"/>
              <w:bottom w:val="none" w:color="FFFFFF" w:sz="0"/>
              <w:right w:val="single" w:color="FFFFFF" w:sz="12"/>
            </w:tcBorders>
            <w:shd w:fill="E6F2EA" w:color="auto" w:val="clear"/>
            <w:tcMar>
              <w:top w:type="dxa" w:w="160"/>
              <w:left w:type="dxa" w:w="140"/>
              <w:bottom w:type="dxa" w:w="160"/>
              <w:right w:type="dxa" w:w="140"/>
            </w:tcMar>
          </w:tcPr>
          <w:p>
            <w:pPr>
              <w:spacing w:after="30"/>
            </w:pPr>
            <w:r>
              <w:rPr>
                <w:b/>
                <w:bCs/>
                <w:color w:val="1F5F3A"/>
                <w:sz w:val="44"/>
                <w:szCs w:val="44"/>
              </w:rPr>
              <w:t xml:space="preserve">5</w:t>
            </w:r>
          </w:p>
          <w:p>
            <w:r>
              <w:rPr>
                <w:color w:val="555555"/>
                <w:sz w:val="18"/>
                <w:szCs w:val="18"/>
              </w:rPr>
              <w:t xml:space="preserve">public data sources, cross-checked</w:t>
            </w:r>
          </w:p>
        </w:tc>
        <w:tc>
          <w:tcPr>
            <w:tcW w:type="dxa" w:w="2410"/>
            <w:tcBorders>
              <w:top w:val="none" w:color="FFFFFF" w:sz="0"/>
              <w:left w:val="none" w:color="FFFFFF" w:sz="0"/>
              <w:bottom w:val="none" w:color="FFFFFF" w:sz="0"/>
              <w:right w:val="single" w:color="FFFFFF" w:sz="12"/>
            </w:tcBorders>
            <w:shd w:fill="E6F2EA" w:color="auto" w:val="clear"/>
            <w:tcMar>
              <w:top w:type="dxa" w:w="160"/>
              <w:left w:type="dxa" w:w="140"/>
              <w:bottom w:type="dxa" w:w="160"/>
              <w:right w:type="dxa" w:w="140"/>
            </w:tcMar>
          </w:tcPr>
          <w:p>
            <w:pPr>
              <w:spacing w:after="30"/>
            </w:pPr>
            <w:r>
              <w:rPr>
                <w:b/>
                <w:bCs/>
                <w:color w:val="1F5F3A"/>
                <w:sz w:val="44"/>
                <w:szCs w:val="44"/>
              </w:rPr>
              <w:t xml:space="preserve">6</w:t>
            </w:r>
          </w:p>
          <w:p>
            <w:r>
              <w:rPr>
                <w:color w:val="555555"/>
                <w:sz w:val="18"/>
                <w:szCs w:val="18"/>
              </w:rPr>
              <w:t xml:space="preserve">research questions, 4 testable hypotheses</w:t>
            </w:r>
          </w:p>
        </w:tc>
        <w:tc>
          <w:tcPr>
            <w:tcW w:type="dxa" w:w="2409"/>
            <w:tcBorders>
              <w:top w:val="none" w:color="FFFFFF" w:sz="0"/>
              <w:left w:val="none" w:color="FFFFFF" w:sz="0"/>
              <w:bottom w:val="none" w:color="FFFFFF" w:sz="0"/>
              <w:right w:val="single" w:color="FFFFFF" w:sz="12"/>
            </w:tcBorders>
            <w:shd w:fill="E6F2EA" w:color="auto" w:val="clear"/>
            <w:tcMar>
              <w:top w:type="dxa" w:w="160"/>
              <w:left w:type="dxa" w:w="140"/>
              <w:bottom w:type="dxa" w:w="160"/>
              <w:right w:type="dxa" w:w="140"/>
            </w:tcMar>
          </w:tcPr>
          <w:p>
            <w:pPr>
              <w:spacing w:after="30"/>
            </w:pPr>
            <w:r>
              <w:rPr>
                <w:b/>
                <w:bCs/>
                <w:color w:val="1F5F3A"/>
                <w:sz w:val="44"/>
                <w:szCs w:val="44"/>
              </w:rPr>
              <w:t xml:space="preserve">5</w:t>
            </w:r>
          </w:p>
          <w:p>
            <w:r>
              <w:rPr>
                <w:color w:val="555555"/>
                <w:sz w:val="18"/>
                <w:szCs w:val="18"/>
              </w:rPr>
              <w:t xml:space="preserve">data-quality gates, borrowed from HACCP</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833A" w:sz="24"/>
              <w:bottom w:val="none" w:color="FFFFFF" w:sz="0"/>
              <w:right w:val="none" w:color="FFFFFF" w:sz="0"/>
            </w:tcBorders>
            <w:shd w:fill="FFF6E5" w:color="auto" w:val="clear"/>
            <w:tcMar>
              <w:top w:type="dxa" w:w="120"/>
              <w:left w:type="dxa" w:w="200"/>
              <w:bottom w:type="dxa" w:w="100"/>
              <w:right w:type="dxa" w:w="160"/>
            </w:tcMar>
          </w:tcPr>
          <w:p>
            <w:pPr>
              <w:spacing w:after="60"/>
            </w:pPr>
            <w:r>
              <w:rPr>
                <w:b/>
                <w:bCs/>
                <w:color w:val="C4651C"/>
                <w:sz w:val="22"/>
                <w:szCs w:val="22"/>
              </w:rPr>
              <w:t xml:space="preserve">The big idea</w:t>
            </w:r>
          </w:p>
          <w:p>
            <w:pPr>
              <w:spacing w:after="50"/>
            </w:pPr>
            <w:r>
              <w:rPr>
                <w:sz w:val="20"/>
                <w:szCs w:val="20"/>
              </w:rPr>
              <w:t xml:space="preserve">A food factory is a production line: raw material comes in, gets inspected, processed, packed and dispatched. </w:t>
            </w:r>
            <w:r>
              <w:rPr>
                <w:b/>
                <w:bCs/>
                <w:sz w:val="20"/>
                <w:szCs w:val="20"/>
              </w:rPr>
              <w:t xml:space="preserve">This project runs the analysis itself like that line</w:t>
            </w:r>
            <w:r>
              <w:rPr>
                <w:sz w:val="20"/>
                <w:szCs w:val="20"/>
              </w:rPr>
              <w:t xml:space="preserve">, with five "stations" that turn messy public data into clean, trusted, decision-ready insight. Quality gates borrowed from food safety (HACCP) protect the data the same way they protect the product.</w:t>
            </w:r>
          </w:p>
        </w:tc>
      </w:tr>
    </w:tbl>
    <w:p>
      <w:r>
        <w:br w:type="page"/>
      </w:r>
    </w:p>
    <w:p>
      <w:pPr>
        <w:pStyle w:val="Heading1"/>
        <w:keepNext/>
      </w:pPr>
      <w:r>
        <w:t xml:space="preserve">1. Project Introduction</w:t>
      </w:r>
    </w:p>
    <w:p>
      <w:pPr>
        <w:pStyle w:val="Heading2"/>
        <w:keepNext/>
      </w:pPr>
      <w:r>
        <w:t xml:space="preserve">1.1 What is "virtual food processing"?</w:t>
      </w:r>
    </w:p>
    <w:p>
      <w:pPr>
        <w:spacing w:after="120" w:before="0" w:line="276"/>
      </w:pPr>
      <w:r>
        <w:t xml:space="preserve">Food processing turns raw agricultural inputs (grain, milk, oilseeds, fruit, meat) into safe, shelf-ready products. </w:t>
      </w:r>
      <w:r>
        <w:rPr>
          <w:b/>
          <w:bCs/>
        </w:rPr>
        <w:t xml:space="preserve">Virtual food processing</w:t>
      </w:r>
      <w:r>
        <w:t xml:space="preserve"> means studying and optimising that chain through data and simulation rather than on a physical shop floor: a "digital twin lite" of a processing plant, built from public statistics and tested in a spreadsheet sandbox before any real money or machinery is touched.</w:t>
      </w:r>
    </w:p>
    <w:p>
      <w:pPr>
        <w:spacing w:after="120" w:before="0" w:line="276"/>
      </w:pPr>
      <w:r>
        <w:t xml:space="preserve">For this project, I model a fictional mid-sized plant, </w:t>
      </w:r>
      <w:r>
        <w:rPr>
          <w:b/>
          <w:bCs/>
        </w:rPr>
        <w:t xml:space="preserve">NutriLine Foods</w:t>
      </w:r>
      <w:r>
        <w:t xml:space="preserve">, whose inputs, throughput, labour, energy use and margins are benchmarked against publicly reported industry data. The plant is illustrative, but the numbers it is compared with are real.</w:t>
      </w:r>
    </w:p>
    <w:p>
      <w:pPr>
        <w:pStyle w:val="Heading2"/>
        <w:keepNext/>
      </w:pPr>
      <w:r>
        <w:t xml:space="preserve">1.2 Why data-driven decisions matter here</w:t>
      </w:r>
    </w:p>
    <w:p>
      <w:pPr>
        <w:pStyle w:val="ListParagraph"/>
        <w:numPr>
          <w:ilvl w:val="0"/>
          <w:numId w:val="2"/>
        </w:numPr>
        <w:spacing w:after="60" w:line="276"/>
      </w:pPr>
      <w:r>
        <w:rPr>
          <w:b/>
          <w:bCs/>
        </w:rPr>
        <w:t xml:space="preserve">Thin margins.</w:t>
      </w:r>
      <w:r>
        <w:t xml:space="preserve"> Food manufacturing earns modest margins, so small efficiency gains (less waste, less energy per tonne) matter a great deal.</w:t>
      </w:r>
    </w:p>
    <w:p>
      <w:pPr>
        <w:pStyle w:val="ListParagraph"/>
        <w:numPr>
          <w:ilvl w:val="0"/>
          <w:numId w:val="2"/>
        </w:numPr>
        <w:spacing w:after="60" w:line="276"/>
      </w:pPr>
      <w:r>
        <w:rPr>
          <w:b/>
          <w:bCs/>
        </w:rPr>
        <w:t xml:space="preserve">Volatile inputs.</w:t>
      </w:r>
      <w:r>
        <w:t xml:space="preserve"> Crop yields, weather and commodity prices swing, and processors must plan procurement and production around that volatility.</w:t>
      </w:r>
    </w:p>
    <w:p>
      <w:pPr>
        <w:pStyle w:val="ListParagraph"/>
        <w:numPr>
          <w:ilvl w:val="0"/>
          <w:numId w:val="2"/>
        </w:numPr>
        <w:spacing w:after="60" w:line="276"/>
      </w:pPr>
      <w:r>
        <w:rPr>
          <w:b/>
          <w:bCs/>
        </w:rPr>
        <w:t xml:space="preserve">Perishability and safety.</w:t>
      </w:r>
      <w:r>
        <w:t xml:space="preserve"> Spoilage, yield loss and compliance failures are expensive. Data helps spot problems before they become recalls or write-offs.</w:t>
      </w:r>
    </w:p>
    <w:p>
      <w:pPr>
        <w:pStyle w:val="ListParagraph"/>
        <w:numPr>
          <w:ilvl w:val="0"/>
          <w:numId w:val="2"/>
        </w:numPr>
        <w:spacing w:after="60" w:line="276"/>
      </w:pPr>
      <w:r>
        <w:rPr>
          <w:b/>
          <w:bCs/>
        </w:rPr>
        <w:t xml:space="preserve">Rising pressure on energy and sustainability.</w:t>
      </w:r>
      <w:r>
        <w:t xml:space="preserve"> Energy intensity and waste are now both a cost line and a reporting requirement.</w:t>
      </w:r>
    </w:p>
    <w:p>
      <w:pPr>
        <w:pStyle w:val="Heading2"/>
        <w:keepNext/>
      </w:pPr>
      <w:r>
        <w:t xml:space="preserve">1.3 Why Excel?</w:t>
      </w:r>
    </w:p>
    <w:p>
      <w:pPr>
        <w:spacing w:after="120" w:before="0" w:line="276"/>
      </w:pPr>
      <w:r>
        <w:t xml:space="preserve">Excel is the most widely used analysis tool in operations and finance teams. Modern Excel (Power Query, dynamic arrays, Power Pivot, what-if tools) can clean, model, forecast and visualise a project of this size end to end, and every step stays transparent and auditable, which is exactly what a planning exercise needs.</w:t>
      </w:r>
    </w:p>
    <w:p>
      <w:pPr>
        <w:pStyle w:val="Heading2"/>
        <w:keepNext/>
      </w:pPr>
      <w:r>
        <w:t xml:space="preserve">1.4 The numbers behind the case</w:t>
      </w:r>
    </w:p>
    <w:p>
      <w:pPr>
        <w:keepNext/>
        <w:spacing w:after="120" w:before="0" w:line="276"/>
      </w:pPr>
      <w:r>
        <w:t xml:space="preserve">The plan is anchored in published figures. These are the real data points that motivated the research questions, quoted as reported by each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238"/>
      </w:tblGrid>
      <w:tr>
        <w:trPr>
          <w:tblHeader/>
        </w:trPr>
        <w:tc>
          <w:tcPr>
            <w:tcW w:type="dxa" w:w="25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Indicator</w:t>
            </w:r>
          </w:p>
        </w:tc>
        <w:tc>
          <w:tcPr>
            <w:tcW w:type="dxa" w:w="39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Published figure</w:t>
            </w:r>
          </w:p>
        </w:tc>
        <w:tc>
          <w:tcPr>
            <w:tcW w:type="dxa" w:w="32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Source and why it matters</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Value added per worker, US food manufacturing (2019)</w:t>
            </w:r>
          </w:p>
        </w:tc>
        <w:tc>
          <w:tcPr>
            <w:tcW w:type="dxa" w:w="3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Food (NAICS 311) made up </w:t>
            </w:r>
            <w:r>
              <w:rPr>
                <w:b/>
                <w:bCs/>
                <w:sz w:val="20"/>
                <w:szCs w:val="20"/>
              </w:rPr>
              <w:t xml:space="preserve">7.6%</w:t>
            </w:r>
            <w:r>
              <w:rPr>
                <w:sz w:val="20"/>
                <w:szCs w:val="20"/>
              </w:rPr>
              <w:t xml:space="preserve"> of US manufacturing employment but </w:t>
            </w:r>
            <w:r>
              <w:rPr>
                <w:b/>
                <w:bCs/>
                <w:sz w:val="20"/>
                <w:szCs w:val="20"/>
              </w:rPr>
              <w:t xml:space="preserve">9.1%</w:t>
            </w:r>
            <w:r>
              <w:rPr>
                <w:sz w:val="20"/>
                <w:szCs w:val="20"/>
              </w:rPr>
              <w:t xml:space="preserve"> of value added. That is roughly </w:t>
            </w:r>
            <w:r>
              <w:rPr>
                <w:b/>
                <w:bCs/>
                <w:sz w:val="20"/>
                <w:szCs w:val="20"/>
              </w:rPr>
              <w:t xml:space="preserve">1.2x</w:t>
            </w:r>
            <w:r>
              <w:rPr>
                <w:sz w:val="20"/>
                <w:szCs w:val="20"/>
              </w:rPr>
              <w:t xml:space="preserve"> the manufacturing average value added per worker (9.1 / 7.6).</w:t>
            </w:r>
          </w:p>
        </w:tc>
        <w:tc>
          <w:tcPr>
            <w:tcW w:type="dxa" w:w="32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US Census Bureau, Annual Survey of Manufactures, via StatsAmerica. Shows that efficiency can be measured and compared across segments (RQ2).</w:t>
            </w:r>
          </w:p>
        </w:tc>
      </w:tr>
      <w:tr>
        <w:trPr>
          <w:cantSplit/>
        </w:trPr>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US food manufacturing employment</w:t>
            </w:r>
          </w:p>
        </w:tc>
        <w:tc>
          <w:tcPr>
            <w:tcW w:type="dxa" w:w="3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1,477.8</w:t>
            </w:r>
            <w:r>
              <w:rPr>
                <w:sz w:val="20"/>
                <w:szCs w:val="20"/>
              </w:rPr>
              <w:t xml:space="preserve"> thousand jobs (2010) to </w:t>
            </w:r>
            <w:r>
              <w:rPr>
                <w:b/>
                <w:bCs/>
                <w:sz w:val="20"/>
                <w:szCs w:val="20"/>
              </w:rPr>
              <w:t xml:space="preserve">1,554.1</w:t>
            </w:r>
            <w:r>
              <w:rPr>
                <w:sz w:val="20"/>
                <w:szCs w:val="20"/>
              </w:rPr>
              <w:t xml:space="preserve"> thousand (2015): </w:t>
            </w:r>
            <w:r>
              <w:rPr>
                <w:b/>
                <w:bCs/>
                <w:sz w:val="20"/>
                <w:szCs w:val="20"/>
              </w:rPr>
              <w:t xml:space="preserve">+5.2%</w:t>
            </w:r>
            <w:r>
              <w:rPr>
                <w:sz w:val="20"/>
                <w:szCs w:val="20"/>
              </w:rPr>
              <w:t xml:space="preserve"> in five years, about </w:t>
            </w:r>
            <w:r>
              <w:rPr>
                <w:b/>
                <w:bCs/>
                <w:sz w:val="20"/>
                <w:szCs w:val="20"/>
              </w:rPr>
              <w:t xml:space="preserve">1.0%</w:t>
            </w:r>
            <w:r>
              <w:rPr>
                <w:sz w:val="20"/>
                <w:szCs w:val="20"/>
              </w:rPr>
              <w:t xml:space="preserve"> a year.</w:t>
            </w:r>
          </w:p>
        </w:tc>
        <w:tc>
          <w:tcPr>
            <w:tcW w:type="dxa" w:w="32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US Bureau of Labor Statistics industry productivity series (via FRED). Real input for the growth-rate indicator in Section 6.2.</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India: food products in registered factories (2023-24)</w:t>
            </w:r>
          </w:p>
        </w:tc>
        <w:tc>
          <w:tcPr>
            <w:tcW w:type="dxa" w:w="3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Food products employed </w:t>
            </w:r>
            <w:r>
              <w:rPr>
                <w:b/>
                <w:bCs/>
                <w:sz w:val="20"/>
                <w:szCs w:val="20"/>
              </w:rPr>
              <w:t xml:space="preserve">11.06%</w:t>
            </w:r>
            <w:r>
              <w:rPr>
                <w:sz w:val="20"/>
                <w:szCs w:val="20"/>
              </w:rPr>
              <w:t xml:space="preserve"> of factory workers, about </w:t>
            </w:r>
            <w:r>
              <w:rPr>
                <w:b/>
                <w:bCs/>
                <w:sz w:val="20"/>
                <w:szCs w:val="20"/>
              </w:rPr>
              <w:t xml:space="preserve">21.6 lakh</w:t>
            </w:r>
            <w:r>
              <w:rPr>
                <w:sz w:val="20"/>
                <w:szCs w:val="20"/>
              </w:rPr>
              <w:t xml:space="preserve"> people, and ranks among the top five industries by gross value added.</w:t>
            </w:r>
          </w:p>
        </w:tc>
        <w:tc>
          <w:tcPr>
            <w:tcW w:type="dxa" w:w="32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MoSPI Annual Survey of Industries 2023-24, as reported in press coverage. Why an Indian lens belongs in the plan.</w:t>
            </w:r>
          </w:p>
        </w:tc>
      </w:tr>
      <w:tr>
        <w:trPr>
          <w:cantSplit/>
        </w:trPr>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Revisions to official data</w:t>
            </w:r>
          </w:p>
        </w:tc>
        <w:tc>
          <w:tcPr>
            <w:tcW w:type="dxa" w:w="3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FAO's 2025 world cereal output forecast moved from </w:t>
            </w:r>
            <w:r>
              <w:rPr>
                <w:b/>
                <w:bCs/>
                <w:sz w:val="20"/>
                <w:szCs w:val="20"/>
              </w:rPr>
              <w:t xml:space="preserve">2,911</w:t>
            </w:r>
            <w:r>
              <w:rPr>
                <w:sz w:val="20"/>
                <w:szCs w:val="20"/>
              </w:rPr>
              <w:t xml:space="preserve"> million tonnes (June 2025 brief) to </w:t>
            </w:r>
            <w:r>
              <w:rPr>
                <w:b/>
                <w:bCs/>
                <w:sz w:val="20"/>
                <w:szCs w:val="20"/>
              </w:rPr>
              <w:t xml:space="preserve">3,023</w:t>
            </w:r>
            <w:r>
              <w:rPr>
                <w:sz w:val="20"/>
                <w:szCs w:val="20"/>
              </w:rPr>
              <w:t xml:space="preserve"> million tonnes in a later brief: a </w:t>
            </w:r>
            <w:r>
              <w:rPr>
                <w:b/>
                <w:bCs/>
                <w:sz w:val="20"/>
                <w:szCs w:val="20"/>
              </w:rPr>
              <w:t xml:space="preserve">+3.8%</w:t>
            </w:r>
            <w:r>
              <w:rPr>
                <w:sz w:val="20"/>
                <w:szCs w:val="20"/>
              </w:rPr>
              <w:t xml:space="preserve"> revision.</w:t>
            </w:r>
          </w:p>
        </w:tc>
        <w:tc>
          <w:tcPr>
            <w:tcW w:type="dxa" w:w="32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FAO Cereal Supply and Demand Brief. Why every download is date-stamped (CCP4) and headline figures are re-checked before reporting.</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Excel capacity</w:t>
            </w:r>
          </w:p>
        </w:tc>
        <w:tc>
          <w:tcPr>
            <w:tcW w:type="dxa" w:w="3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1,048,576</w:t>
            </w:r>
            <w:r>
              <w:rPr>
                <w:sz w:val="20"/>
                <w:szCs w:val="20"/>
              </w:rPr>
              <w:t xml:space="preserve"> rows per worksheet.</w:t>
            </w:r>
          </w:p>
        </w:tc>
        <w:tc>
          <w:tcPr>
            <w:tcW w:type="dxa" w:w="32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Microsoft Excel specifications. Why large source files are filtered in Power Query before loading.</w:t>
            </w:r>
          </w:p>
        </w:tc>
      </w:tr>
    </w:tbl>
    <w:p>
      <w:pPr>
        <w:spacing w:after="60"/>
      </w:pPr>
    </w:p>
    <w:p>
      <w:pPr>
        <w:spacing w:after="120" w:before="0" w:line="276"/>
      </w:pPr>
      <w:r>
        <w:rPr>
          <w:i/>
          <w:iCs/>
          <w:color w:val="555555"/>
        </w:rPr>
        <w:t xml:space="preserve">These figures will be re-checked against the primary tables during Phase 2, because published statistics are revised over time.</w:t>
      </w:r>
    </w:p>
    <w:p>
      <w:pPr>
        <w:pStyle w:val="Heading1"/>
        <w:keepNext/>
      </w:pPr>
      <w:r>
        <w:t xml:space="preserve">2. Objectives, Research Questions and Hypotheses</w:t>
      </w:r>
    </w:p>
    <w:p>
      <w:pPr>
        <w:pStyle w:val="Heading2"/>
        <w:keepNext/>
      </w:pPr>
      <w:r>
        <w:t xml:space="preserve">2.1 Analysis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ID</w:t>
            </w:r>
          </w:p>
        </w:tc>
        <w:tc>
          <w:tcPr>
            <w:tcW w:type="dxa" w:w="87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Objective (SMART)</w:t>
            </w:r>
          </w:p>
        </w:tc>
      </w:tr>
      <w:tr>
        <w:trPr>
          <w:cantSplit/>
        </w:trPr>
        <w:tc>
          <w:tcPr>
            <w:tcW w:type="dxa" w:w="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O1</w:t>
            </w:r>
          </w:p>
        </w:tc>
        <w:tc>
          <w:tcPr>
            <w:tcW w:type="dxa" w:w="87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Consolidate</w:t>
            </w:r>
            <w:r>
              <w:rPr>
                <w:sz w:val="20"/>
                <w:szCs w:val="20"/>
              </w:rPr>
              <w:t xml:space="preserve"> at least five public datasets into one cleaned, documented Excel data model covering a minimum of 10 years where data allows.</w:t>
            </w:r>
          </w:p>
        </w:tc>
      </w:tr>
      <w:tr>
        <w:trPr>
          <w:cantSplit/>
        </w:trPr>
        <w:tc>
          <w:tcPr>
            <w:tcW w:type="dxa" w:w="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O2</w:t>
            </w:r>
          </w:p>
        </w:tc>
        <w:tc>
          <w:tcPr>
            <w:tcW w:type="dxa" w:w="87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Quantify trends</w:t>
            </w:r>
            <w:r>
              <w:rPr>
                <w:sz w:val="20"/>
                <w:szCs w:val="20"/>
              </w:rPr>
              <w:t xml:space="preserve"> in production volume and processing output across five food categories (cereals, dairy, edible oils, fruit and vegetables, meat), including seasonality and volatility.</w:t>
            </w:r>
          </w:p>
        </w:tc>
      </w:tr>
      <w:tr>
        <w:trPr>
          <w:cantSplit/>
        </w:trPr>
        <w:tc>
          <w:tcPr>
            <w:tcW w:type="dxa" w:w="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O3</w:t>
            </w:r>
          </w:p>
        </w:tc>
        <w:tc>
          <w:tcPr>
            <w:tcW w:type="dxa" w:w="87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Build a Production Efficiency Index (PEI)</w:t>
            </w:r>
            <w:r>
              <w:rPr>
                <w:sz w:val="20"/>
                <w:szCs w:val="20"/>
              </w:rPr>
              <w:t xml:space="preserve">: a single composite score combining labour productivity, energy intensity and yield, so segments and years can be ranked fairly.</w:t>
            </w:r>
          </w:p>
        </w:tc>
      </w:tr>
      <w:tr>
        <w:trPr>
          <w:cantSplit/>
        </w:trPr>
        <w:tc>
          <w:tcPr>
            <w:tcW w:type="dxa" w:w="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O4</w:t>
            </w:r>
          </w:p>
        </w:tc>
        <w:tc>
          <w:tcPr>
            <w:tcW w:type="dxa" w:w="87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Test four hypotheses</w:t>
            </w:r>
            <w:r>
              <w:rPr>
                <w:sz w:val="20"/>
                <w:szCs w:val="20"/>
              </w:rPr>
              <w:t xml:space="preserve"> about what drives efficiency, using correlation, regression and lag analysis inside Excel.</w:t>
            </w:r>
          </w:p>
        </w:tc>
      </w:tr>
      <w:tr>
        <w:trPr>
          <w:cantSplit/>
        </w:trPr>
        <w:tc>
          <w:tcPr>
            <w:tcW w:type="dxa" w:w="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O5</w:t>
            </w:r>
          </w:p>
        </w:tc>
        <w:tc>
          <w:tcPr>
            <w:tcW w:type="dxa" w:w="87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Deliver an interactive dashboard and at least five evidence-backed recommendations</w:t>
            </w:r>
            <w:r>
              <w:rPr>
                <w:sz w:val="20"/>
                <w:szCs w:val="20"/>
              </w:rPr>
              <w:t xml:space="preserve"> for the NutriLine Foods virtual plant, each with a what-if value estimate.</w:t>
            </w:r>
          </w:p>
        </w:tc>
      </w:tr>
    </w:tbl>
    <w:p>
      <w:pPr>
        <w:spacing w:after="120"/>
      </w:pPr>
    </w:p>
    <w:p>
      <w:pPr>
        <w:pStyle w:val="Heading2"/>
        <w:keepNext/>
      </w:pPr>
      <w:r>
        <w:t xml:space="preserve">2.2 Key research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ID</w:t>
            </w:r>
          </w:p>
        </w:tc>
        <w:tc>
          <w:tcPr>
            <w:tcW w:type="dxa" w:w="87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Research question</w:t>
            </w:r>
          </w:p>
        </w:tc>
      </w:tr>
      <w:tr>
        <w:trPr>
          <w:cantSplit/>
        </w:trPr>
        <w:tc>
          <w:tcPr>
            <w:tcW w:type="dxa" w:w="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RQ1</w:t>
            </w:r>
          </w:p>
        </w:tc>
        <w:tc>
          <w:tcPr>
            <w:tcW w:type="dxa" w:w="87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How have production volumes of key food categories moved over the last 10 to 15 years, and which categories are the most seasonal or volatile?</w:t>
            </w:r>
          </w:p>
        </w:tc>
      </w:tr>
      <w:tr>
        <w:trPr>
          <w:cantSplit/>
        </w:trPr>
        <w:tc>
          <w:tcPr>
            <w:tcW w:type="dxa" w:w="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RQ2</w:t>
            </w:r>
          </w:p>
        </w:tc>
        <w:tc>
          <w:tcPr>
            <w:tcW w:type="dxa" w:w="87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Which food-manufacturing segments create the most value added per worker and per unit of energy?</w:t>
            </w:r>
          </w:p>
        </w:tc>
      </w:tr>
      <w:tr>
        <w:trPr>
          <w:cantSplit/>
        </w:trPr>
        <w:tc>
          <w:tcPr>
            <w:tcW w:type="dxa" w:w="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RQ3</w:t>
            </w:r>
          </w:p>
        </w:tc>
        <w:tc>
          <w:tcPr>
            <w:tcW w:type="dxa" w:w="87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Do raw-material price changes squeeze processing margins, and if so, after what delay?</w:t>
            </w:r>
          </w:p>
        </w:tc>
      </w:tr>
      <w:tr>
        <w:trPr>
          <w:cantSplit/>
        </w:trPr>
        <w:tc>
          <w:tcPr>
            <w:tcW w:type="dxa" w:w="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RQ4</w:t>
            </w:r>
          </w:p>
        </w:tc>
        <w:tc>
          <w:tcPr>
            <w:tcW w:type="dxa" w:w="87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Does higher capital intensity (investment per worker) translate into higher productivity?</w:t>
            </w:r>
          </w:p>
        </w:tc>
      </w:tr>
      <w:tr>
        <w:trPr>
          <w:cantSplit/>
        </w:trPr>
        <w:tc>
          <w:tcPr>
            <w:tcW w:type="dxa" w:w="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RQ5</w:t>
            </w:r>
          </w:p>
        </w:tc>
        <w:tc>
          <w:tcPr>
            <w:tcW w:type="dxa" w:w="87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Where is the largest efficiency gap between NutriLine Foods and industry benchmarks, and what would closing it be worth?</w:t>
            </w:r>
          </w:p>
        </w:tc>
      </w:tr>
      <w:tr>
        <w:trPr>
          <w:cantSplit/>
        </w:trPr>
        <w:tc>
          <w:tcPr>
            <w:tcW w:type="dxa" w:w="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RQ6</w:t>
            </w:r>
          </w:p>
        </w:tc>
        <w:tc>
          <w:tcPr>
            <w:tcW w:type="dxa" w:w="87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What does the next three years of output look like under base, optimistic and stressed scenarios?</w:t>
            </w:r>
          </w:p>
        </w:tc>
      </w:tr>
    </w:tbl>
    <w:p>
      <w:pPr>
        <w:spacing w:after="120"/>
      </w:pPr>
    </w:p>
    <w:p>
      <w:pPr>
        <w:pStyle w:val="Heading2"/>
        <w:keepNext/>
      </w:pPr>
      <w:r>
        <w:t xml:space="preserve">2.3 Working hypotheses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838"/>
        <w:gridCol w:w="4100"/>
      </w:tblGrid>
      <w:tr>
        <w:trPr>
          <w:tblHeader/>
        </w:trPr>
        <w:tc>
          <w:tcPr>
            <w:tcW w:type="dxa" w:w="7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ID</w:t>
            </w:r>
          </w:p>
        </w:tc>
        <w:tc>
          <w:tcPr>
            <w:tcW w:type="dxa" w:w="48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Hypothesis</w:t>
            </w:r>
          </w:p>
        </w:tc>
        <w:tc>
          <w:tcPr>
            <w:tcW w:type="dxa" w:w="41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How Excel will test it</w:t>
            </w:r>
          </w:p>
        </w:tc>
      </w:tr>
      <w:tr>
        <w:trPr>
          <w:cantSplit/>
        </w:trPr>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H1</w:t>
            </w:r>
          </w:p>
        </w:tc>
        <w:tc>
          <w:tcPr>
            <w:tcW w:type="dxa" w:w="48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Capital-intensive segments produce more output per worker.</w:t>
            </w:r>
          </w:p>
        </w:tc>
        <w:tc>
          <w:tcPr>
            <w:tcW w:type="dxa" w:w="41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Scatter plot with trendline, CORREL, and LINEST regression (capital per worker vs output per worker).</w:t>
            </w:r>
          </w:p>
        </w:tc>
      </w:tr>
      <w:tr>
        <w:trPr>
          <w:cantSplit/>
        </w:trPr>
        <w:tc>
          <w:tcPr>
            <w:tcW w:type="dxa" w:w="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H2</w:t>
            </w:r>
          </w:p>
        </w:tc>
        <w:tc>
          <w:tcPr>
            <w:tcW w:type="dxa" w:w="48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Raw-material price spikes reduce processing margins with a lag of one to two periods.</w:t>
            </w:r>
          </w:p>
        </w:tc>
        <w:tc>
          <w:tcPr>
            <w:tcW w:type="dxa" w:w="41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Lagged CORREL on offset ranges; conditional formatting to highlight months where price rose and margin fell.</w:t>
            </w:r>
          </w:p>
        </w:tc>
      </w:tr>
      <w:tr>
        <w:trPr>
          <w:cantSplit/>
        </w:trPr>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H3</w:t>
            </w:r>
          </w:p>
        </w:tc>
        <w:tc>
          <w:tcPr>
            <w:tcW w:type="dxa" w:w="48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Segments with higher energy use per tonne score lower on overall efficiency.</w:t>
            </w:r>
          </w:p>
        </w:tc>
        <w:tc>
          <w:tcPr>
            <w:tcW w:type="dxa" w:w="41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PEI ranking table, Data Analysis ToolPak regression, and a colour-scaled heat map.</w:t>
            </w:r>
          </w:p>
        </w:tc>
      </w:tr>
      <w:tr>
        <w:trPr>
          <w:cantSplit/>
        </w:trPr>
        <w:tc>
          <w:tcPr>
            <w:tcW w:type="dxa" w:w="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H4</w:t>
            </w:r>
          </w:p>
        </w:tc>
        <w:tc>
          <w:tcPr>
            <w:tcW w:type="dxa" w:w="48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Staple categories (cereals, oils) are more stable than perishable ones (fruit and vegetables, dairy).</w:t>
            </w:r>
          </w:p>
        </w:tc>
        <w:tc>
          <w:tcPr>
            <w:tcW w:type="dxa" w:w="41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Standard deviation of year-on-year % change per category (STDEV.S), compared in a PivotChart. CV kept as a secondary check.</w:t>
            </w:r>
          </w:p>
        </w:tc>
      </w:tr>
    </w:tbl>
    <w:p>
      <w:pPr>
        <w:spacing w:after="120"/>
      </w:pPr>
    </w:p>
    <w:p>
      <w:pPr>
        <w:pStyle w:val="Heading2"/>
        <w:keepNext/>
      </w:pPr>
      <w:r>
        <w:t xml:space="preserve">2.4 Decision rules, set in advance</w:t>
      </w:r>
    </w:p>
    <w:p>
      <w:pPr>
        <w:keepNext/>
        <w:spacing w:after="120" w:before="0" w:line="276"/>
      </w:pPr>
      <w:r>
        <w:t xml:space="preserve">Each hypothesis gets a pass or fail threshold before any data is analysed, so the verdict cannot be bent to fit the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tblHeader/>
        </w:trPr>
        <w:tc>
          <w:tcPr>
            <w:tcW w:type="dxa" w:w="7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ID</w:t>
            </w:r>
          </w:p>
        </w:tc>
        <w:tc>
          <w:tcPr>
            <w:tcW w:type="dxa" w:w="89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Supported if...</w:t>
            </w:r>
          </w:p>
        </w:tc>
      </w:tr>
      <w:tr>
        <w:trPr>
          <w:cantSplit/>
        </w:trPr>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H1</w:t>
            </w:r>
          </w:p>
        </w:tc>
        <w:tc>
          <w:tcPr>
            <w:tcW w:type="dxa" w:w="89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Correlation (r) between capital per worker and output per worker is </w:t>
            </w:r>
            <w:r>
              <w:rPr>
                <w:b/>
                <w:bCs/>
                <w:sz w:val="20"/>
                <w:szCs w:val="20"/>
              </w:rPr>
              <w:t xml:space="preserve">0.5 or higher</w:t>
            </w:r>
            <w:r>
              <w:rPr>
                <w:sz w:val="20"/>
                <w:szCs w:val="20"/>
              </w:rPr>
              <w:t xml:space="preserve">, and the LINEST slope is significant at the 5% level (p &lt; 0.05).</w:t>
            </w:r>
          </w:p>
        </w:tc>
      </w:tr>
      <w:tr>
        <w:trPr>
          <w:cantSplit/>
        </w:trPr>
        <w:tc>
          <w:tcPr>
            <w:tcW w:type="dxa" w:w="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H2</w:t>
            </w:r>
          </w:p>
        </w:tc>
        <w:tc>
          <w:tcPr>
            <w:tcW w:type="dxa" w:w="89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The lag-1 or lag-2 correlation between raw-material price change and margin change is </w:t>
            </w:r>
            <w:r>
              <w:rPr>
                <w:b/>
                <w:bCs/>
                <w:sz w:val="20"/>
                <w:szCs w:val="20"/>
              </w:rPr>
              <w:t xml:space="preserve">-0.5 or stronger</w:t>
            </w:r>
            <w:r>
              <w:rPr>
                <w:sz w:val="20"/>
                <w:szCs w:val="20"/>
              </w:rPr>
              <w:t xml:space="preserve">. With 15 annual observations, |r| must exceed about </w:t>
            </w:r>
            <w:r>
              <w:rPr>
                <w:b/>
                <w:bCs/>
                <w:sz w:val="20"/>
                <w:szCs w:val="20"/>
              </w:rPr>
              <w:t xml:space="preserve">0.51</w:t>
            </w:r>
            <w:r>
              <w:rPr>
                <w:sz w:val="20"/>
                <w:szCs w:val="20"/>
              </w:rPr>
              <w:t xml:space="preserve"> to be significant at the 5% level.</w:t>
            </w:r>
          </w:p>
        </w:tc>
      </w:tr>
      <w:tr>
        <w:trPr>
          <w:cantSplit/>
        </w:trPr>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H3</w:t>
            </w:r>
          </w:p>
        </w:tc>
        <w:tc>
          <w:tcPr>
            <w:tcW w:type="dxa" w:w="89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Energy per tonne correlates with efficiency at </w:t>
            </w:r>
            <w:r>
              <w:rPr>
                <w:b/>
                <w:bCs/>
                <w:sz w:val="20"/>
                <w:szCs w:val="20"/>
              </w:rPr>
              <w:t xml:space="preserve">r of -0.5 or stronger</w:t>
            </w:r>
            <w:r>
              <w:rPr>
                <w:sz w:val="20"/>
                <w:szCs w:val="20"/>
              </w:rPr>
              <w:t xml:space="preserve">. To avoid circular logic (energy is inside the PEI), this is tested against the PEI recalculated </w:t>
            </w:r>
            <w:r>
              <w:rPr>
                <w:b/>
                <w:bCs/>
                <w:sz w:val="20"/>
                <w:szCs w:val="20"/>
              </w:rPr>
              <w:t xml:space="preserve">without</w:t>
            </w:r>
            <w:r>
              <w:rPr>
                <w:sz w:val="20"/>
                <w:szCs w:val="20"/>
              </w:rPr>
              <w:t xml:space="preserve"> the energy component.</w:t>
            </w:r>
          </w:p>
        </w:tc>
      </w:tr>
      <w:tr>
        <w:trPr>
          <w:cantSplit/>
        </w:trPr>
        <w:tc>
          <w:tcPr>
            <w:tcW w:type="dxa" w:w="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H4</w:t>
            </w:r>
          </w:p>
        </w:tc>
        <w:tc>
          <w:tcPr>
            <w:tcW w:type="dxa" w:w="89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The </w:t>
            </w:r>
            <w:r>
              <w:rPr>
                <w:b/>
                <w:bCs/>
                <w:sz w:val="20"/>
                <w:szCs w:val="20"/>
              </w:rPr>
              <w:t xml:space="preserve">median country ratio</w:t>
            </w:r>
            <w:r>
              <w:rPr>
                <w:sz w:val="20"/>
                <w:szCs w:val="20"/>
              </w:rPr>
              <w:t xml:space="preserve"> of volatility (perishable divided by staple) is </w:t>
            </w:r>
            <w:r>
              <w:rPr>
                <w:b/>
                <w:bCs/>
                <w:sz w:val="20"/>
                <w:szCs w:val="20"/>
              </w:rPr>
              <w:t xml:space="preserve">at least 2x</w:t>
            </w:r>
            <w:r>
              <w:rPr>
                <w:sz w:val="20"/>
                <w:szCs w:val="20"/>
              </w:rPr>
              <w:t xml:space="preserve">, where volatility is the standard deviation of year-on-year % change. CV is reported only as a secondary check, because long-run growth inflates it (see Section 7.1).</w:t>
            </w:r>
          </w:p>
        </w:tc>
      </w:tr>
    </w:tbl>
    <w:p>
      <w:pPr>
        <w:spacing w:after="60"/>
      </w:pPr>
    </w:p>
    <w:p>
      <w:pPr>
        <w:spacing w:after="120" w:before="0" w:line="276"/>
      </w:pPr>
      <w:r>
        <w:t xml:space="preserve">Verdicts: </w:t>
      </w:r>
      <w:r>
        <w:rPr>
          <w:b/>
          <w:bCs/>
        </w:rPr>
        <w:t xml:space="preserve">supported</w:t>
      </w:r>
      <w:r>
        <w:t xml:space="preserve"> if the rule is met, </w:t>
      </w:r>
      <w:r>
        <w:rPr>
          <w:b/>
          <w:bCs/>
        </w:rPr>
        <w:t xml:space="preserve">partly supported</w:t>
      </w:r>
      <w:r>
        <w:t xml:space="preserve"> if it holds for some segments, regions or lags but not all, and </w:t>
      </w:r>
      <w:r>
        <w:rPr>
          <w:b/>
          <w:bCs/>
        </w:rPr>
        <w:t xml:space="preserve">not supported</w:t>
      </w:r>
      <w:r>
        <w:t xml:space="preserve"> otherwise.</w:t>
      </w:r>
    </w:p>
    <w:p>
      <w:pPr>
        <w:pStyle w:val="Heading1"/>
        <w:keepNext/>
      </w:pPr>
      <w:r>
        <w:t xml:space="preserve">3. Scope and Limitations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In scope</w:t>
            </w:r>
          </w:p>
        </w:tc>
        <w:tc>
          <w:tcPr>
            <w:tcW w:type="dxa" w:w="4819"/>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Out of scope</w:t>
            </w:r>
          </w:p>
        </w:tc>
      </w:tr>
      <w:tr>
        <w:trPr>
          <w:cantSplit/>
        </w:trPr>
        <w:tc>
          <w:tcPr>
            <w:tcW w:type="dxa" w:w="4819"/>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Publicly available annual and monthly data on food production, prices, and food-manufacturing performance.</w:t>
            </w:r>
          </w:p>
          <w:p>
            <w:pPr>
              <w:spacing w:after="40"/>
            </w:pPr>
            <w:r>
              <w:rPr>
                <w:sz w:val="20"/>
                <w:szCs w:val="20"/>
              </w:rPr>
              <w:t xml:space="preserve">Three lenses: India, the United States and the European Union, for comparison.</w:t>
            </w:r>
          </w:p>
          <w:p>
            <w:pPr>
              <w:spacing w:after="40"/>
            </w:pPr>
            <w:r>
              <w:rPr>
                <w:sz w:val="20"/>
                <w:szCs w:val="20"/>
              </w:rPr>
              <w:t xml:space="preserve">Five food categories, plus an "all food manufacturing" aggregate.</w:t>
            </w:r>
          </w:p>
          <w:p>
            <w:pPr>
              <w:spacing w:after="40"/>
            </w:pPr>
            <w:r>
              <w:rPr>
                <w:sz w:val="20"/>
                <w:szCs w:val="20"/>
              </w:rPr>
              <w:t xml:space="preserve">A fictional virtual plant (NutriLine Foods) used as the benchmark target.</w:t>
            </w:r>
          </w:p>
          <w:p>
            <w:pPr>
              <w:spacing w:after="40"/>
            </w:pPr>
            <w:r>
              <w:rPr>
                <w:sz w:val="20"/>
                <w:szCs w:val="20"/>
              </w:rPr>
              <w:t xml:space="preserve">All analysis, modelling and dashboards built in Excel.</w:t>
            </w:r>
          </w:p>
        </w:tc>
        <w:tc>
          <w:tcPr>
            <w:tcW w:type="dxa" w:w="4819"/>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Proprietary or plant-level operational data.</w:t>
            </w:r>
          </w:p>
          <w:p>
            <w:pPr>
              <w:spacing w:after="40"/>
            </w:pPr>
            <w:r>
              <w:rPr>
                <w:sz w:val="20"/>
                <w:szCs w:val="20"/>
              </w:rPr>
              <w:t xml:space="preserve">Real-time sensor (IoT) data and live production feeds.</w:t>
            </w:r>
          </w:p>
          <w:p>
            <w:pPr>
              <w:spacing w:after="40"/>
            </w:pPr>
            <w:r>
              <w:rPr>
                <w:sz w:val="20"/>
                <w:szCs w:val="20"/>
              </w:rPr>
              <w:t xml:space="preserve">Machine-learning or predictive models outside Excel.</w:t>
            </w:r>
          </w:p>
          <w:p>
            <w:pPr>
              <w:spacing w:after="40"/>
            </w:pPr>
            <w:r>
              <w:rPr>
                <w:sz w:val="20"/>
                <w:szCs w:val="20"/>
              </w:rPr>
              <w:t xml:space="preserve">Food-safety laboratory results and regulatory compliance audits.</w:t>
            </w:r>
          </w:p>
          <w:p>
            <w:pPr>
              <w:spacing w:after="40"/>
            </w:pPr>
            <w:r>
              <w:rPr>
                <w:sz w:val="20"/>
                <w:szCs w:val="20"/>
              </w:rPr>
              <w:t xml:space="preserve">Detailed financial modelling of real companies.</w:t>
            </w:r>
          </w:p>
        </w:tc>
      </w:tr>
    </w:tbl>
    <w:p>
      <w:pPr>
        <w:spacing w:after="120"/>
      </w:pPr>
    </w:p>
    <w:p>
      <w:pPr>
        <w:pStyle w:val="Heading2"/>
        <w:keepNext/>
      </w:pPr>
      <w:r>
        <w:t xml:space="preserve">Limitations to be honest about</w:t>
      </w:r>
    </w:p>
    <w:p>
      <w:pPr>
        <w:pStyle w:val="ListParagraph"/>
        <w:numPr>
          <w:ilvl w:val="0"/>
          <w:numId w:val="2"/>
        </w:numPr>
        <w:spacing w:after="60" w:line="276"/>
      </w:pPr>
      <w:r>
        <w:rPr>
          <w:b/>
          <w:bCs/>
        </w:rPr>
        <w:t xml:space="preserve">Aggregated, not plant-level.</w:t>
      </w:r>
      <w:r>
        <w:t xml:space="preserve"> Public data describes industries and countries, so NutriLine Foods is a calibrated illustration and not a prediction of any real plant.</w:t>
      </w:r>
    </w:p>
    <w:p>
      <w:pPr>
        <w:pStyle w:val="ListParagraph"/>
        <w:numPr>
          <w:ilvl w:val="0"/>
          <w:numId w:val="2"/>
        </w:numPr>
        <w:spacing w:after="60" w:line="276"/>
      </w:pPr>
      <w:r>
        <w:rPr>
          <w:b/>
          <w:bCs/>
        </w:rPr>
        <w:t xml:space="preserve">Definitions differ across sources.</w:t>
      </w:r>
      <w:r>
        <w:t xml:space="preserve"> Industry classifications, units and currencies vary, so harmonisation (see data-quality gates) is necessary and introduces assumptions.</w:t>
      </w:r>
    </w:p>
    <w:p>
      <w:pPr>
        <w:pStyle w:val="ListParagraph"/>
        <w:numPr>
          <w:ilvl w:val="0"/>
          <w:numId w:val="2"/>
        </w:numPr>
        <w:spacing w:after="60" w:line="276"/>
      </w:pPr>
      <w:r>
        <w:rPr>
          <w:b/>
          <w:bCs/>
        </w:rPr>
        <w:t xml:space="preserve">Reporting lags.</w:t>
      </w:r>
      <w:r>
        <w:t xml:space="preserve"> Official manufacturing surveys are often published with a delay of a year or more, so the latest period may be missing for some sources.</w:t>
      </w:r>
    </w:p>
    <w:p>
      <w:pPr>
        <w:pStyle w:val="ListParagraph"/>
        <w:numPr>
          <w:ilvl w:val="0"/>
          <w:numId w:val="2"/>
        </w:numPr>
        <w:spacing w:after="60" w:line="276"/>
      </w:pPr>
      <w:r>
        <w:rPr>
          <w:b/>
          <w:bCs/>
        </w:rPr>
        <w:t xml:space="preserve">Excel scale limits.</w:t>
      </w:r>
      <w:r>
        <w:t xml:space="preserve"> A worksheet holds just over one million rows. Large source files will be filtered at import (Power Query) rather than loaded whole.</w:t>
      </w:r>
    </w:p>
    <w:p>
      <w:pPr>
        <w:pStyle w:val="ListParagraph"/>
        <w:numPr>
          <w:ilvl w:val="0"/>
          <w:numId w:val="2"/>
        </w:numPr>
        <w:spacing w:after="60" w:line="276"/>
      </w:pPr>
      <w:r>
        <w:rPr>
          <w:b/>
          <w:bCs/>
        </w:rPr>
        <w:t xml:space="preserve">Correlation is not causation.</w:t>
      </w:r>
      <w:r>
        <w:t xml:space="preserve"> Findings will be framed as evidence and hypotheses to investigate, not proof.</w:t>
      </w:r>
    </w:p>
    <w:p>
      <w:pPr>
        <w:pStyle w:val="Heading1"/>
        <w:keepNext/>
      </w:pPr>
      <w:r>
        <w:t xml:space="preserve">4. Data Source Identification</w:t>
      </w:r>
    </w:p>
    <w:p>
      <w:pPr>
        <w:spacing w:after="120" w:before="0" w:line="276"/>
      </w:pPr>
      <w:r>
        <w:t xml:space="preserve">Five public sources were chosen so that each research question has at least two independent sources behind it. Together they cover </w:t>
      </w:r>
      <w:r>
        <w:rPr>
          <w:b/>
          <w:bCs/>
        </w:rPr>
        <w:t xml:space="preserve">what is produced</w:t>
      </w:r>
      <w:r>
        <w:t xml:space="preserve"> (volumes), </w:t>
      </w:r>
      <w:r>
        <w:rPr>
          <w:b/>
          <w:bCs/>
        </w:rPr>
        <w:t xml:space="preserve">what it costs</w:t>
      </w:r>
      <w:r>
        <w:t xml:space="preserve"> (prices), and </w:t>
      </w:r>
      <w:r>
        <w:rPr>
          <w:b/>
          <w:bCs/>
        </w:rPr>
        <w:t xml:space="preserve">how well factories convert inputs into outputs</w:t>
      </w:r>
      <w:r>
        <w:t xml:space="preserve"> (efficiency).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900"/>
        <w:gridCol w:w="2538"/>
      </w:tblGrid>
      <w:tr>
        <w:trPr>
          <w:tblHeader/>
        </w:trPr>
        <w:tc>
          <w:tcPr>
            <w:tcW w:type="dxa" w:w="17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Source</w:t>
            </w:r>
          </w:p>
        </w:tc>
        <w:tc>
          <w:tcPr>
            <w:tcW w:type="dxa" w:w="25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What it provides</w:t>
            </w:r>
          </w:p>
        </w:tc>
        <w:tc>
          <w:tcPr>
            <w:tcW w:type="dxa" w:w="29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Why it was selected</w:t>
            </w:r>
          </w:p>
        </w:tc>
        <w:tc>
          <w:tcPr>
            <w:tcW w:type="dxa" w:w="25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Used for</w:t>
            </w:r>
          </w:p>
        </w:tc>
      </w:tr>
      <w:tr>
        <w:trPr>
          <w:cantSplit/>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FAOSTAT</w:t>
            </w:r>
            <w:r>
              <w:rPr>
                <w:sz w:val="20"/>
                <w:szCs w:val="20"/>
              </w:rPr>
              <w:t xml:space="preserve"> (UN FAO)</w:t>
            </w:r>
          </w:p>
          <w:p>
            <w:pPr>
              <w:spacing w:after="40"/>
            </w:pPr>
            <w:r>
              <w:rPr>
                <w:sz w:val="20"/>
                <w:szCs w:val="20"/>
              </w:rPr>
              <w:t xml:space="preserve">fao.org/faostat</w:t>
            </w:r>
          </w:p>
        </w:tc>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Production quantities, yields and producer prices by country and commodity, with long annual history.</w:t>
            </w:r>
          </w:p>
        </w:tc>
        <w:tc>
          <w:tcPr>
            <w:tcW w:type="dxa" w:w="2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The global standard for food production data. Free, consistent across countries, and downloadable as CSV.</w:t>
            </w:r>
          </w:p>
        </w:tc>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RQ1, RQ3, RQ6 and H2, H4</w:t>
            </w:r>
          </w:p>
        </w:tc>
      </w:tr>
      <w:tr>
        <w:trPr>
          <w:cantSplit/>
        </w:trPr>
        <w:tc>
          <w:tcPr>
            <w:tcW w:type="dxa" w:w="1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US Census Bureau: Annual Survey of Manufacturers</w:t>
            </w:r>
          </w:p>
          <w:p>
            <w:pPr>
              <w:spacing w:after="40"/>
            </w:pPr>
            <w:r>
              <w:rPr>
                <w:sz w:val="20"/>
                <w:szCs w:val="20"/>
              </w:rPr>
              <w:t xml:space="preserve">census.gov/programs-surveys/asm</w:t>
            </w:r>
          </w:p>
        </w:tc>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Food manufacturing (NAICS 311): value of shipments, value added, employment, payroll, capital expenditure, energy and materials cost.</w:t>
            </w:r>
          </w:p>
        </w:tc>
        <w:tc>
          <w:tcPr>
            <w:tcW w:type="dxa" w:w="2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The richest public view of how factories convert inputs to outputs. It supplies the labour, capital and energy measures behind the PEI.</w:t>
            </w:r>
          </w:p>
        </w:tc>
        <w:tc>
          <w:tcPr>
            <w:tcW w:type="dxa" w:w="25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RQ2, RQ4, RQ5 and H1, H3</w:t>
            </w:r>
          </w:p>
        </w:tc>
      </w:tr>
      <w:tr>
        <w:trPr>
          <w:cantSplit/>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India: Annual Survey of Industries (MoSPI) and data.gov.in</w:t>
            </w:r>
          </w:p>
          <w:p>
            <w:pPr>
              <w:spacing w:after="40"/>
            </w:pPr>
            <w:r>
              <w:rPr>
                <w:sz w:val="20"/>
                <w:szCs w:val="20"/>
              </w:rPr>
              <w:t xml:space="preserve">data.gov.in</w:t>
            </w:r>
          </w:p>
        </w:tc>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Factory-level aggregates for food product manufacturing: output, workers, fixed capital, fuel and materials.</w:t>
            </w:r>
          </w:p>
        </w:tc>
        <w:tc>
          <w:tcPr>
            <w:tcW w:type="dxa" w:w="2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Brings an Indian lens, relevant to a fast-growing processing sector, and allows a developing-economy versus developed-economy comparison.</w:t>
            </w:r>
          </w:p>
        </w:tc>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RQ2, RQ4, RQ5</w:t>
            </w:r>
          </w:p>
        </w:tc>
      </w:tr>
      <w:tr>
        <w:trPr>
          <w:cantSplit/>
        </w:trPr>
        <w:tc>
          <w:tcPr>
            <w:tcW w:type="dxa" w:w="1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Eurostat</w:t>
            </w:r>
            <w:r>
              <w:rPr>
                <w:sz w:val="20"/>
                <w:szCs w:val="20"/>
              </w:rPr>
              <w:t xml:space="preserve"> (Structural Business Statistics and PRODCOM)</w:t>
            </w:r>
          </w:p>
          <w:p>
            <w:pPr>
              <w:spacing w:after="40"/>
            </w:pPr>
            <w:r>
              <w:rPr>
                <w:sz w:val="20"/>
                <w:szCs w:val="20"/>
              </w:rPr>
              <w:t xml:space="preserve">ec.europa.eu/eurostat</w:t>
            </w:r>
          </w:p>
        </w:tc>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Food, beverage manufacturing turnover, employment, production value and volumes by EU country.</w:t>
            </w:r>
          </w:p>
        </w:tc>
        <w:tc>
          <w:tcPr>
            <w:tcW w:type="dxa" w:w="2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Provides a third regional benchmark with harmonised definitions across many countries, which strengthens cross-checks.</w:t>
            </w:r>
          </w:p>
        </w:tc>
        <w:tc>
          <w:tcPr>
            <w:tcW w:type="dxa" w:w="25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RQ2, RQ5, RQ6</w:t>
            </w:r>
          </w:p>
        </w:tc>
      </w:tr>
      <w:tr>
        <w:trPr>
          <w:cantSplit/>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Open Food Facts</w:t>
            </w:r>
          </w:p>
          <w:p>
            <w:pPr>
              <w:spacing w:after="40"/>
            </w:pPr>
            <w:r>
              <w:rPr>
                <w:sz w:val="20"/>
                <w:szCs w:val="20"/>
              </w:rPr>
              <w:t xml:space="preserve">world.openfoodfacts.org</w:t>
            </w:r>
          </w:p>
        </w:tc>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Crowd-sourced product database: categories, ingredients and nutrition for packaged food worldwide.</w:t>
            </w:r>
          </w:p>
        </w:tc>
        <w:tc>
          <w:tcPr>
            <w:tcW w:type="dxa" w:w="2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Adds a product-mix layer to the story, so segments can be profiled by product type and processing level.</w:t>
            </w:r>
          </w:p>
        </w:tc>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Context and segment profiling (RQ2)</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833A" w:sz="24"/>
              <w:bottom w:val="none" w:color="FFFFFF" w:sz="0"/>
              <w:right w:val="none" w:color="FFFFFF" w:sz="0"/>
            </w:tcBorders>
            <w:shd w:fill="FFF6E5" w:color="auto" w:val="clear"/>
            <w:tcMar>
              <w:top w:type="dxa" w:w="120"/>
              <w:left w:type="dxa" w:w="200"/>
              <w:bottom w:type="dxa" w:w="100"/>
              <w:right w:type="dxa" w:w="160"/>
            </w:tcMar>
          </w:tcPr>
          <w:p>
            <w:pPr>
              <w:spacing w:after="60"/>
            </w:pPr>
            <w:r>
              <w:rPr>
                <w:b/>
                <w:bCs/>
                <w:color w:val="C4651C"/>
                <w:sz w:val="22"/>
                <w:szCs w:val="22"/>
              </w:rPr>
              <w:t xml:space="preserve">Selection logic</w:t>
            </w:r>
          </w:p>
          <w:p>
            <w:pPr>
              <w:spacing w:after="50"/>
            </w:pPr>
            <w:r>
              <w:rPr>
                <w:b/>
                <w:bCs/>
                <w:sz w:val="20"/>
                <w:szCs w:val="20"/>
              </w:rPr>
              <w:t xml:space="preserve">Official first.</w:t>
            </w:r>
            <w:r>
              <w:rPr>
                <w:sz w:val="20"/>
                <w:szCs w:val="20"/>
              </w:rPr>
              <w:t xml:space="preserve"> Government and UN sources lead, because their methods are documented and their data can be cited.</w:t>
            </w:r>
          </w:p>
          <w:p>
            <w:pPr>
              <w:spacing w:after="50"/>
            </w:pPr>
            <w:r>
              <w:rPr>
                <w:b/>
                <w:bCs/>
                <w:sz w:val="20"/>
                <w:szCs w:val="20"/>
              </w:rPr>
              <w:t xml:space="preserve">Triangulate.</w:t>
            </w:r>
            <w:r>
              <w:rPr>
                <w:sz w:val="20"/>
                <w:szCs w:val="20"/>
              </w:rPr>
              <w:t xml:space="preserve"> Efficiency measures from the US, India and EU are compared, so no single country's definitions drive the conclusions.</w:t>
            </w:r>
          </w:p>
          <w:p>
            <w:pPr>
              <w:spacing w:after="50"/>
            </w:pPr>
            <w:r>
              <w:rPr>
                <w:b/>
                <w:bCs/>
                <w:sz w:val="20"/>
                <w:szCs w:val="20"/>
              </w:rPr>
              <w:t xml:space="preserve">Free and Excel-friendly.</w:t>
            </w:r>
            <w:r>
              <w:rPr>
                <w:sz w:val="20"/>
                <w:szCs w:val="20"/>
              </w:rPr>
              <w:t xml:space="preserve"> Every source offers CSV or XLSX download, so the full pipeline stays reproducible.</w:t>
            </w:r>
          </w:p>
          <w:p>
            <w:pPr>
              <w:spacing w:after="50"/>
            </w:pPr>
            <w:r>
              <w:rPr>
                <w:b/>
                <w:bCs/>
                <w:sz w:val="20"/>
                <w:szCs w:val="20"/>
              </w:rPr>
              <w:t xml:space="preserve">Check before use.</w:t>
            </w:r>
            <w:r>
              <w:rPr>
                <w:sz w:val="20"/>
                <w:szCs w:val="20"/>
              </w:rPr>
              <w:t xml:space="preserve"> Table names, release dates and download formats change over time, so exact tables and licence terms will be confirmed and logged in the workbook during Phase 2.</w:t>
            </w:r>
          </w:p>
        </w:tc>
      </w:tr>
    </w:tbl>
    <w:p>
      <w:pPr>
        <w:pStyle w:val="Heading1"/>
        <w:keepNext/>
      </w:pPr>
      <w:r>
        <w:t xml:space="preserve">5. Methodology: The FOODFLOW Line</w:t>
      </w:r>
    </w:p>
    <w:p>
      <w:pPr>
        <w:spacing w:after="120" w:before="0" w:line="276"/>
      </w:pPr>
      <w:r>
        <w:t xml:space="preserve">The analysis moves through five stations, just like a product moving down a processing line. Each station has a clear output, and nothing moves forward until it passes its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638"/>
      </w:tblGrid>
      <w:tr>
        <w:trPr>
          <w:tblHeader/>
        </w:trPr>
        <w:tc>
          <w:tcPr>
            <w:tcW w:type="dxa" w:w="17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Station</w:t>
            </w:r>
          </w:p>
        </w:tc>
        <w:tc>
          <w:tcPr>
            <w:tcW w:type="dxa" w:w="33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Food-line analogy</w:t>
            </w:r>
          </w:p>
        </w:tc>
        <w:tc>
          <w:tcPr>
            <w:tcW w:type="dxa" w:w="46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What happens in the analysis</w:t>
            </w:r>
          </w:p>
        </w:tc>
      </w:tr>
      <w:tr>
        <w:trPr>
          <w:cantSplit/>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1. Intake</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Receiving raw material</w:t>
            </w:r>
          </w:p>
        </w:tc>
        <w:tc>
          <w:tcPr>
            <w:tcW w:type="dxa" w:w="46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Download datasets, record source, date and licence, and load everything through Power Query into one workbook.</w:t>
            </w:r>
          </w:p>
        </w:tc>
      </w:tr>
      <w:tr>
        <w:trPr>
          <w:cantSplit/>
        </w:trPr>
        <w:tc>
          <w:tcPr>
            <w:tcW w:type="dxa" w:w="1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2. Inspect</w:t>
            </w:r>
          </w:p>
        </w:tc>
        <w:tc>
          <w:tcPr>
            <w:tcW w:type="dxa" w:w="33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Quality control checks</w:t>
            </w:r>
          </w:p>
        </w:tc>
        <w:tc>
          <w:tcPr>
            <w:tcW w:type="dxa" w:w="46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Run the five data-quality gates (below). Reject, repair or flag anything that fails.</w:t>
            </w:r>
          </w:p>
        </w:tc>
      </w:tr>
      <w:tr>
        <w:trPr>
          <w:cantSplit/>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3. Process</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Cooking and transforming</w:t>
            </w:r>
          </w:p>
        </w:tc>
        <w:tc>
          <w:tcPr>
            <w:tcW w:type="dxa" w:w="46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Standardise units and currency, build the master table, calculate ratios and the Production Efficiency Index.</w:t>
            </w:r>
          </w:p>
        </w:tc>
      </w:tr>
      <w:tr>
        <w:trPr>
          <w:cantSplit/>
        </w:trPr>
        <w:tc>
          <w:tcPr>
            <w:tcW w:type="dxa" w:w="1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4. Package</w:t>
            </w:r>
          </w:p>
        </w:tc>
        <w:tc>
          <w:tcPr>
            <w:tcW w:type="dxa" w:w="33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Packing and labelling</w:t>
            </w:r>
          </w:p>
        </w:tc>
        <w:tc>
          <w:tcPr>
            <w:tcW w:type="dxa" w:w="46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Create PivotTables, charts, heat maps and an interactive dashboard with slicers.</w:t>
            </w:r>
          </w:p>
        </w:tc>
      </w:tr>
      <w:tr>
        <w:trPr>
          <w:cantSplit/>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5. Dispatch</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Shipping to customers</w:t>
            </w:r>
          </w:p>
        </w:tc>
        <w:tc>
          <w:tcPr>
            <w:tcW w:type="dxa" w:w="46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Turn findings into recommendations with what-if values and a short executive summary.</w:t>
            </w:r>
          </w:p>
        </w:tc>
      </w:tr>
    </w:tbl>
    <w:p>
      <w:pPr>
        <w:spacing w:after="120"/>
      </w:pPr>
    </w:p>
    <w:p>
      <w:pPr>
        <w:pStyle w:val="Heading2"/>
        <w:keepNext/>
      </w:pPr>
      <w:r>
        <w:t xml:space="preserve">5.1 Data-quality gates (inspired by HACCP)</w:t>
      </w:r>
    </w:p>
    <w:p>
      <w:pPr>
        <w:spacing w:after="120" w:before="0" w:line="276"/>
      </w:pPr>
      <w:r>
        <w:t xml:space="preserve">HACCP identifies "critical control points" where food safety must be checked. The same idea applies to data: a few well-placed checks catch most errors before they reach a chart.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3500"/>
        <w:gridCol w:w="2638"/>
      </w:tblGrid>
      <w:tr>
        <w:trPr>
          <w:tblHeader/>
        </w:trPr>
        <w:tc>
          <w:tcPr>
            <w:tcW w:type="dxa" w:w="12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Gate</w:t>
            </w:r>
          </w:p>
        </w:tc>
        <w:tc>
          <w:tcPr>
            <w:tcW w:type="dxa" w:w="23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Question asked</w:t>
            </w:r>
          </w:p>
        </w:tc>
        <w:tc>
          <w:tcPr>
            <w:tcW w:type="dxa" w:w="35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Excel check</w:t>
            </w:r>
          </w:p>
        </w:tc>
        <w:tc>
          <w:tcPr>
            <w:tcW w:type="dxa" w:w="26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If it fails</w:t>
            </w:r>
          </w:p>
        </w:tc>
      </w:tr>
      <w:tr>
        <w:trPr>
          <w:cantSplit/>
        </w:trPr>
        <w:tc>
          <w:tcPr>
            <w:tcW w:type="dxa" w:w="1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CCP1</w:t>
            </w:r>
          </w:p>
        </w:tc>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Is the data complete?</w:t>
            </w:r>
          </w:p>
        </w:tc>
        <w:tc>
          <w:tcPr>
            <w:tcW w:type="dxa" w:w="3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=COUNTBLANK(range)/ROWS(range) must be under 5% per key column.</w:t>
            </w:r>
          </w:p>
        </w:tc>
        <w:tc>
          <w:tcPr>
            <w:tcW w:type="dxa" w:w="26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Fill using a documented method, or exclude the series.</w:t>
            </w:r>
          </w:p>
        </w:tc>
      </w:tr>
      <w:tr>
        <w:trPr>
          <w:cantSplit/>
        </w:trPr>
        <w:tc>
          <w:tcPr>
            <w:tcW w:type="dxa" w:w="1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CCP2</w:t>
            </w:r>
          </w:p>
        </w:tc>
        <w:tc>
          <w:tcPr>
            <w:tcW w:type="dxa" w:w="23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Is it consistent?</w:t>
            </w:r>
          </w:p>
        </w:tc>
        <w:tc>
          <w:tcPr>
            <w:tcW w:type="dxa" w:w="3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Units converted to tonnes and currencies converted to USD in Power Query. Category names mapped through a lookup table.</w:t>
            </w:r>
          </w:p>
        </w:tc>
        <w:tc>
          <w:tcPr>
            <w:tcW w:type="dxa" w:w="26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Fix the mapping table and refresh.</w:t>
            </w:r>
          </w:p>
        </w:tc>
      </w:tr>
      <w:tr>
        <w:trPr>
          <w:cantSplit/>
        </w:trPr>
        <w:tc>
          <w:tcPr>
            <w:tcW w:type="dxa" w:w="1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CCP3</w:t>
            </w:r>
          </w:p>
        </w:tc>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Is it plausible?</w:t>
            </w:r>
          </w:p>
        </w:tc>
        <w:tc>
          <w:tcPr>
            <w:tcW w:type="dxa" w:w="3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Z-score formula flags values beyond three standard deviations. Conditional formatting highlights them in red.</w:t>
            </w:r>
          </w:p>
        </w:tc>
        <w:tc>
          <w:tcPr>
            <w:tcW w:type="dxa" w:w="26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Verify against the source. Keep, correct or annotate.</w:t>
            </w:r>
          </w:p>
        </w:tc>
      </w:tr>
      <w:tr>
        <w:trPr>
          <w:cantSplit/>
        </w:trPr>
        <w:tc>
          <w:tcPr>
            <w:tcW w:type="dxa" w:w="1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CCP4</w:t>
            </w:r>
          </w:p>
        </w:tc>
        <w:tc>
          <w:tcPr>
            <w:tcW w:type="dxa" w:w="23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Is it traceable?</w:t>
            </w:r>
          </w:p>
        </w:tc>
        <w:tc>
          <w:tcPr>
            <w:tcW w:type="dxa" w:w="3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Every row carries Source and Download_Date columns. A Log sheet records every change.</w:t>
            </w:r>
          </w:p>
        </w:tc>
        <w:tc>
          <w:tcPr>
            <w:tcW w:type="dxa" w:w="26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Block the data from the master table until sourced.</w:t>
            </w:r>
          </w:p>
        </w:tc>
      </w:tr>
      <w:tr>
        <w:trPr>
          <w:cantSplit/>
        </w:trPr>
        <w:tc>
          <w:tcPr>
            <w:tcW w:type="dxa" w:w="1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CCP5</w:t>
            </w:r>
          </w:p>
        </w:tc>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Is it repeatable?</w:t>
            </w:r>
          </w:p>
        </w:tc>
        <w:tc>
          <w:tcPr>
            <w:tcW w:type="dxa" w:w="3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All cleaning is done as Power Query steps, never by hand edits.</w:t>
            </w:r>
          </w:p>
        </w:tc>
        <w:tc>
          <w:tcPr>
            <w:tcW w:type="dxa" w:w="26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Rebuild the step in Power Query.</w:t>
            </w:r>
          </w:p>
        </w:tc>
      </w:tr>
    </w:tbl>
    <w:p>
      <w:pPr>
        <w:spacing w:after="120"/>
      </w:pPr>
    </w:p>
    <w:p>
      <w:pPr>
        <w:pStyle w:val="Heading2"/>
        <w:keepNext/>
      </w:pPr>
      <w:r>
        <w:t xml:space="preserve">5.2 Step-by-step method</w:t>
      </w:r>
    </w:p>
    <w:p>
      <w:pPr>
        <w:pStyle w:val="ListParagraph"/>
        <w:numPr>
          <w:ilvl w:val="0"/>
          <w:numId w:val="3"/>
        </w:numPr>
        <w:spacing w:after="80" w:line="276"/>
      </w:pPr>
      <w:r>
        <w:rPr>
          <w:b/>
          <w:bCs/>
        </w:rPr>
        <w:t xml:space="preserve">Frame.</w:t>
      </w:r>
      <w:r>
        <w:t xml:space="preserve"> Confirm objectives, research questions and hypotheses. Agree what "efficient" means (the PEI components and weights).</w:t>
      </w:r>
    </w:p>
    <w:p>
      <w:pPr>
        <w:pStyle w:val="ListParagraph"/>
        <w:numPr>
          <w:ilvl w:val="0"/>
          <w:numId w:val="3"/>
        </w:numPr>
        <w:spacing w:after="80" w:line="276"/>
      </w:pPr>
      <w:r>
        <w:rPr>
          <w:b/>
          <w:bCs/>
        </w:rPr>
        <w:t xml:space="preserve">Collect.</w:t>
      </w:r>
      <w:r>
        <w:t xml:space="preserve"> Download the five datasets, record their source, date and licence in a README sheet.</w:t>
      </w:r>
    </w:p>
    <w:p>
      <w:pPr>
        <w:pStyle w:val="ListParagraph"/>
        <w:numPr>
          <w:ilvl w:val="0"/>
          <w:numId w:val="3"/>
        </w:numPr>
        <w:spacing w:after="80" w:line="276"/>
      </w:pPr>
      <w:r>
        <w:rPr>
          <w:b/>
          <w:bCs/>
        </w:rPr>
        <w:t xml:space="preserve">Load and clean.</w:t>
      </w:r>
      <w:r>
        <w:t xml:space="preserve"> Import with Power Query. Remove duplicates, unpivot wide year columns, standardise units, currencies and category names.</w:t>
      </w:r>
    </w:p>
    <w:p>
      <w:pPr>
        <w:pStyle w:val="ListParagraph"/>
        <w:numPr>
          <w:ilvl w:val="0"/>
          <w:numId w:val="3"/>
        </w:numPr>
        <w:spacing w:after="80" w:line="276"/>
      </w:pPr>
      <w:r>
        <w:rPr>
          <w:b/>
          <w:bCs/>
        </w:rPr>
        <w:t xml:space="preserve">Inspect.</w:t>
      </w:r>
      <w:r>
        <w:t xml:space="preserve"> Run the five data-quality gates and record results in the Log sheet.</w:t>
      </w:r>
    </w:p>
    <w:p>
      <w:pPr>
        <w:pStyle w:val="ListParagraph"/>
        <w:numPr>
          <w:ilvl w:val="0"/>
          <w:numId w:val="3"/>
        </w:numPr>
        <w:spacing w:after="80" w:line="276"/>
      </w:pPr>
      <w:r>
        <w:rPr>
          <w:b/>
          <w:bCs/>
        </w:rPr>
        <w:t xml:space="preserve">Build the master table.</w:t>
      </w:r>
      <w:r>
        <w:t xml:space="preserve"> Merge sources into one Excel Table keyed by Year, Region and Segment.</w:t>
      </w:r>
    </w:p>
    <w:p>
      <w:pPr>
        <w:pStyle w:val="ListParagraph"/>
        <w:numPr>
          <w:ilvl w:val="0"/>
          <w:numId w:val="3"/>
        </w:numPr>
        <w:spacing w:after="80" w:line="276"/>
      </w:pPr>
      <w:r>
        <w:rPr>
          <w:b/>
          <w:bCs/>
        </w:rPr>
        <w:t xml:space="preserve">Engineer indicators.</w:t>
      </w:r>
      <w:r>
        <w:t xml:space="preserve"> Calculate output per worker, value added per worker, energy per tonne, material cost share, yield, growth rates and volatility.</w:t>
      </w:r>
    </w:p>
    <w:p>
      <w:pPr>
        <w:pStyle w:val="ListParagraph"/>
        <w:numPr>
          <w:ilvl w:val="0"/>
          <w:numId w:val="3"/>
        </w:numPr>
        <w:spacing w:after="80" w:line="276"/>
      </w:pPr>
      <w:r>
        <w:rPr>
          <w:b/>
          <w:bCs/>
        </w:rPr>
        <w:t xml:space="preserve">Compute the PEI.</w:t>
      </w:r>
      <w:r>
        <w:t xml:space="preserve"> Normalise each component to a 0 to 1 scale, apply weights held in named assumption cells, and rank segments and years.</w:t>
      </w:r>
    </w:p>
    <w:p>
      <w:pPr>
        <w:pStyle w:val="ListParagraph"/>
        <w:numPr>
          <w:ilvl w:val="0"/>
          <w:numId w:val="3"/>
        </w:numPr>
        <w:spacing w:after="80" w:line="276"/>
      </w:pPr>
      <w:r>
        <w:rPr>
          <w:b/>
          <w:bCs/>
        </w:rPr>
        <w:t xml:space="preserve">Explore and test.</w:t>
      </w:r>
      <w:r>
        <w:t xml:space="preserve"> Build PivotTables for trends and seasonality, then test H1 to H4 with CORREL, LINEST and the Data Analysis ToolPak.</w:t>
      </w:r>
    </w:p>
    <w:p>
      <w:pPr>
        <w:pStyle w:val="ListParagraph"/>
        <w:numPr>
          <w:ilvl w:val="0"/>
          <w:numId w:val="3"/>
        </w:numPr>
        <w:spacing w:after="80" w:line="276"/>
      </w:pPr>
      <w:r>
        <w:rPr>
          <w:b/>
          <w:bCs/>
        </w:rPr>
        <w:t xml:space="preserve">Forecast and stress-test.</w:t>
      </w:r>
      <w:r>
        <w:t xml:space="preserve"> Use FORECAST.ETS for three-year outlooks, and Data Tables and Scenario Manager for base, optimistic and stressed cases.</w:t>
      </w:r>
    </w:p>
    <w:p>
      <w:pPr>
        <w:pStyle w:val="ListParagraph"/>
        <w:numPr>
          <w:ilvl w:val="0"/>
          <w:numId w:val="3"/>
        </w:numPr>
        <w:spacing w:after="80" w:line="276"/>
      </w:pPr>
      <w:r>
        <w:rPr>
          <w:b/>
          <w:bCs/>
        </w:rPr>
        <w:t xml:space="preserve">Optimise (what-if).</w:t>
      </w:r>
      <w:r>
        <w:t xml:space="preserve"> Use Goal Seek and Solver to estimate the value of closing NutriLine's efficiency gaps.</w:t>
      </w:r>
    </w:p>
    <w:p>
      <w:pPr>
        <w:pStyle w:val="ListParagraph"/>
        <w:numPr>
          <w:ilvl w:val="0"/>
          <w:numId w:val="3"/>
        </w:numPr>
        <w:spacing w:after="80" w:line="276"/>
      </w:pPr>
      <w:r>
        <w:rPr>
          <w:b/>
          <w:bCs/>
        </w:rPr>
        <w:t xml:space="preserve">Visualise.</w:t>
      </w:r>
      <w:r>
        <w:t xml:space="preserve"> Assemble the dashboard: KPI cards, slicers, trend lines, heat map and gap-closure waterfall.</w:t>
      </w:r>
    </w:p>
    <w:p>
      <w:pPr>
        <w:pStyle w:val="ListParagraph"/>
        <w:numPr>
          <w:ilvl w:val="0"/>
          <w:numId w:val="3"/>
        </w:numPr>
        <w:spacing w:after="80" w:line="276"/>
      </w:pPr>
      <w:r>
        <w:rPr>
          <w:b/>
          <w:bCs/>
        </w:rPr>
        <w:t xml:space="preserve">Conclude.</w:t>
      </w:r>
      <w:r>
        <w:t xml:space="preserve"> Write findings, recommendations and limitations. Peer-check formulas and numbers.</w:t>
      </w:r>
    </w:p>
    <w:p>
      <w:pPr>
        <w:pStyle w:val="Heading1"/>
        <w:keepNext/>
      </w:pPr>
      <w:r>
        <w:t xml:space="preserve">6. The Advanced Excel Toolkit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438"/>
      </w:tblGrid>
      <w:tr>
        <w:trPr>
          <w:tblHeader/>
        </w:trPr>
        <w:tc>
          <w:tcPr>
            <w:tcW w:type="dxa" w:w="25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Tool or technique</w:t>
            </w:r>
          </w:p>
        </w:tc>
        <w:tc>
          <w:tcPr>
            <w:tcW w:type="dxa" w:w="37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Where it is used</w:t>
            </w:r>
          </w:p>
        </w:tc>
        <w:tc>
          <w:tcPr>
            <w:tcW w:type="dxa" w:w="34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Why it earns its place</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Power Query</w:t>
            </w:r>
          </w:p>
        </w:tc>
        <w:tc>
          <w:tcPr>
            <w:tcW w:type="dxa" w:w="3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Import, unpivot, merge and clean all five sources.</w:t>
            </w:r>
          </w:p>
        </w:tc>
        <w:tc>
          <w:tcPr>
            <w:tcW w:type="dxa" w:w="3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Repeatable steps, so refreshing with new data takes one click.</w:t>
            </w:r>
          </w:p>
        </w:tc>
      </w:tr>
      <w:tr>
        <w:trPr>
          <w:cantSplit/>
        </w:trPr>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Excel Tables and structured references</w:t>
            </w:r>
          </w:p>
        </w:tc>
        <w:tc>
          <w:tcPr>
            <w:tcW w:type="dxa" w:w="3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Master data table and every calculation sheet.</w:t>
            </w:r>
          </w:p>
        </w:tc>
        <w:tc>
          <w:tcPr>
            <w:tcW w:type="dxa" w:w="3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Formulas read like sentences and expand automatically with new rows.</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XLOOKUP / INDEX-MATCH</w:t>
            </w:r>
          </w:p>
        </w:tc>
        <w:tc>
          <w:tcPr>
            <w:tcW w:type="dxa" w:w="3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Category mapping, benchmark lookups.</w:t>
            </w:r>
          </w:p>
        </w:tc>
        <w:tc>
          <w:tcPr>
            <w:tcW w:type="dxa" w:w="3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Two-way, error-tolerant lookups with no column-order fragility.</w:t>
            </w:r>
          </w:p>
        </w:tc>
      </w:tr>
      <w:tr>
        <w:trPr>
          <w:cantSplit/>
        </w:trPr>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SUMIFS / AVERAGEIFS / COUNTIFS</w:t>
            </w:r>
          </w:p>
        </w:tc>
        <w:tc>
          <w:tcPr>
            <w:tcW w:type="dxa" w:w="3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Ratios by region, segment and year.</w:t>
            </w:r>
          </w:p>
        </w:tc>
        <w:tc>
          <w:tcPr>
            <w:tcW w:type="dxa" w:w="3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Multi-criteria aggregation without pivot dependence.</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Dynamic arrays (FILTER, SORT, UNIQUE, LET)</w:t>
            </w:r>
          </w:p>
        </w:tc>
        <w:tc>
          <w:tcPr>
            <w:tcW w:type="dxa" w:w="3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Live leaderboards and top-N segment lists.</w:t>
            </w:r>
          </w:p>
        </w:tc>
        <w:tc>
          <w:tcPr>
            <w:tcW w:type="dxa" w:w="3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Results spill and update automatically, with no copy-down formulas.</w:t>
            </w:r>
          </w:p>
        </w:tc>
      </w:tr>
      <w:tr>
        <w:trPr>
          <w:cantSplit/>
        </w:trPr>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PivotTables, PivotCharts, Slicers and Timelines</w:t>
            </w:r>
          </w:p>
        </w:tc>
        <w:tc>
          <w:tcPr>
            <w:tcW w:type="dxa" w:w="3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Trends, seasonality and segment comparison.</w:t>
            </w:r>
          </w:p>
        </w:tc>
        <w:tc>
          <w:tcPr>
            <w:tcW w:type="dxa" w:w="3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Fast exploration, and the dashboard becomes interactive.</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Conditional formatting</w:t>
            </w:r>
          </w:p>
        </w:tc>
        <w:tc>
          <w:tcPr>
            <w:tcW w:type="dxa" w:w="3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Outlier flags, heat maps, icon-set KPIs, data bars.</w:t>
            </w:r>
          </w:p>
        </w:tc>
        <w:tc>
          <w:tcPr>
            <w:tcW w:type="dxa" w:w="3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Patterns and problems become visible at a glance.</w:t>
            </w:r>
          </w:p>
        </w:tc>
      </w:tr>
      <w:tr>
        <w:trPr>
          <w:cantSplit/>
        </w:trPr>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Data validation</w:t>
            </w:r>
          </w:p>
        </w:tc>
        <w:tc>
          <w:tcPr>
            <w:tcW w:type="dxa" w:w="3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Assumption cells and dashboard selectors.</w:t>
            </w:r>
          </w:p>
        </w:tc>
        <w:tc>
          <w:tcPr>
            <w:tcW w:type="dxa" w:w="3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Prevents invalid inputs from breaking the model.</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Statistical functions and ToolPak</w:t>
            </w:r>
          </w:p>
        </w:tc>
        <w:tc>
          <w:tcPr>
            <w:tcW w:type="dxa" w:w="3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CORREL, STDEV.S, LINEST, regression output.</w:t>
            </w:r>
          </w:p>
        </w:tc>
        <w:tc>
          <w:tcPr>
            <w:tcW w:type="dxa" w:w="3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Tests the hypotheses with real statistics.</w:t>
            </w:r>
          </w:p>
        </w:tc>
      </w:tr>
      <w:tr>
        <w:trPr>
          <w:cantSplit/>
        </w:trPr>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FORECAST.ETS and trendlines</w:t>
            </w:r>
          </w:p>
        </w:tc>
        <w:tc>
          <w:tcPr>
            <w:tcW w:type="dxa" w:w="3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Three-year outlooks with seasonality.</w:t>
            </w:r>
          </w:p>
        </w:tc>
        <w:tc>
          <w:tcPr>
            <w:tcW w:type="dxa" w:w="3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Time-series forecasting without leaving Excel.</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Data Tables, Scenario Manager, Goal Seek, Solver</w:t>
            </w:r>
          </w:p>
        </w:tc>
        <w:tc>
          <w:tcPr>
            <w:tcW w:type="dxa" w:w="3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Base, optimistic and stressed scenarios, and gap-closure value.</w:t>
            </w:r>
          </w:p>
        </w:tc>
        <w:tc>
          <w:tcPr>
            <w:tcW w:type="dxa" w:w="3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Turns analysis into decisions: "what if we cut energy use by 10%?"</w:t>
            </w:r>
          </w:p>
        </w:tc>
      </w:tr>
      <w:tr>
        <w:trPr>
          <w:cantSplit/>
        </w:trPr>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Sparklines and charts</w:t>
            </w:r>
          </w:p>
        </w:tc>
        <w:tc>
          <w:tcPr>
            <w:tcW w:type="dxa" w:w="3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Compact trend lines in KPI cards and scatter plots with trendlines.</w:t>
            </w:r>
          </w:p>
        </w:tc>
        <w:tc>
          <w:tcPr>
            <w:tcW w:type="dxa" w:w="3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Dense, readable communication of results.</w:t>
            </w:r>
          </w:p>
        </w:tc>
      </w:tr>
    </w:tbl>
    <w:p>
      <w:pPr>
        <w:spacing w:after="120"/>
      </w:pPr>
    </w:p>
    <w:p>
      <w:pPr>
        <w:pStyle w:val="Heading2"/>
        <w:keepNext/>
      </w:pPr>
      <w:r>
        <w:t xml:space="preserve">6.1 Signature formulas</w:t>
      </w:r>
    </w:p>
    <w:p>
      <w:pPr>
        <w:keepNext/>
        <w:spacing w:after="120" w:before="0" w:line="276"/>
      </w:pPr>
      <w:r>
        <w:t xml:space="preserve">Examples of the formulas that sit at the heart of the model (cell references are illustrative):</w:t>
      </w:r>
    </w:p>
    <w:p>
      <w:pPr>
        <w:shd w:fill="F2F2F2" w:color="auto" w:val="clear"/>
        <w:spacing w:after="40"/>
        <w:ind w:left="160" w:right="160"/>
      </w:pPr>
      <w:r>
        <w:rPr>
          <w:rFonts w:ascii="Consolas" w:cs="Consolas" w:eastAsia="Consolas" w:hAnsi="Consolas"/>
          <w:color w:val="1B3A2A"/>
          <w:sz w:val="19"/>
          <w:szCs w:val="19"/>
        </w:rPr>
        <w:t xml:space="preserve">Normalised score (0 to 1):   =(C2-MIN(C$2:C$40))/(MAX(C$2:C$40)-MIN(C$2:C$40))</w:t>
      </w:r>
    </w:p>
    <w:p>
      <w:pPr>
        <w:shd w:fill="F2F2F2" w:color="auto" w:val="clear"/>
        <w:spacing w:after="40"/>
        <w:ind w:left="160" w:right="160"/>
      </w:pPr>
      <w:r>
        <w:rPr>
          <w:rFonts w:ascii="Consolas" w:cs="Consolas" w:eastAsia="Consolas" w:hAnsi="Consolas"/>
          <w:color w:val="1B3A2A"/>
          <w:sz w:val="19"/>
          <w:szCs w:val="19"/>
        </w:rPr>
        <w:t xml:space="preserve">PEI (weights = named cells):  =w_labour*N2 + w_energy*O2 + w_yield*P2</w:t>
      </w:r>
    </w:p>
    <w:p>
      <w:pPr>
        <w:shd w:fill="F2F2F2" w:color="auto" w:val="clear"/>
        <w:spacing w:after="40"/>
        <w:ind w:left="160" w:right="160"/>
      </w:pPr>
      <w:r>
        <w:rPr>
          <w:rFonts w:ascii="Consolas" w:cs="Consolas" w:eastAsia="Consolas" w:hAnsi="Consolas"/>
          <w:color w:val="1B3A2A"/>
          <w:sz w:val="19"/>
          <w:szCs w:val="19"/>
        </w:rPr>
        <w:t xml:space="preserve">YoY change (per row):       =IF(A3=A2,(D3-D2)/D2,"")</w:t>
      </w:r>
    </w:p>
    <w:p>
      <w:pPr>
        <w:shd w:fill="F2F2F2" w:color="auto" w:val="clear"/>
        <w:spacing w:after="40"/>
        <w:ind w:left="160" w:right="160"/>
      </w:pPr>
      <w:r>
        <w:rPr>
          <w:rFonts w:ascii="Consolas" w:cs="Consolas" w:eastAsia="Consolas" w:hAnsi="Consolas"/>
          <w:color w:val="1B3A2A"/>
          <w:sz w:val="19"/>
          <w:szCs w:val="19"/>
        </w:rPr>
        <w:t xml:space="preserve">Volatility (YoY SD):        =STDEV.S(E3:E57)</w:t>
      </w:r>
    </w:p>
    <w:p>
      <w:pPr>
        <w:shd w:fill="F2F2F2" w:color="auto" w:val="clear"/>
        <w:spacing w:after="40"/>
        <w:ind w:left="160" w:right="160"/>
      </w:pPr>
      <w:r>
        <w:rPr>
          <w:rFonts w:ascii="Consolas" w:cs="Consolas" w:eastAsia="Consolas" w:hAnsi="Consolas"/>
          <w:color w:val="1B3A2A"/>
          <w:sz w:val="19"/>
          <w:szCs w:val="19"/>
        </w:rPr>
        <w:t xml:space="preserve">Volatility (CV, secondary): =STDEV.S(D2:D16)/AVERAGE(D2:D16)</w:t>
      </w:r>
    </w:p>
    <w:p>
      <w:pPr>
        <w:shd w:fill="F2F2F2" w:color="auto" w:val="clear"/>
        <w:spacing w:after="40"/>
        <w:ind w:left="160" w:right="160"/>
      </w:pPr>
      <w:r>
        <w:rPr>
          <w:rFonts w:ascii="Consolas" w:cs="Consolas" w:eastAsia="Consolas" w:hAnsi="Consolas"/>
          <w:color w:val="1B3A2A"/>
          <w:sz w:val="19"/>
          <w:szCs w:val="19"/>
        </w:rPr>
        <w:t xml:space="preserve">Lagged correlation (1 per): =CORREL(D3:D40, E2:E39)</w:t>
      </w:r>
    </w:p>
    <w:p>
      <w:pPr>
        <w:shd w:fill="F2F2F2" w:color="auto" w:val="clear"/>
        <w:spacing w:after="40"/>
        <w:ind w:left="160" w:right="160"/>
      </w:pPr>
      <w:r>
        <w:rPr>
          <w:rFonts w:ascii="Consolas" w:cs="Consolas" w:eastAsia="Consolas" w:hAnsi="Consolas"/>
          <w:color w:val="1B3A2A"/>
          <w:sz w:val="19"/>
          <w:szCs w:val="19"/>
        </w:rPr>
        <w:t xml:space="preserve">Outlier flag (CCP3):        =ABS((C2-AVERAGE(C$2:C$40))/STDEV.S(C$2:C$40))&gt;3</w:t>
      </w:r>
    </w:p>
    <w:p>
      <w:pPr>
        <w:shd w:fill="F2F2F2" w:color="auto" w:val="clear"/>
        <w:spacing w:after="40"/>
        <w:ind w:left="160" w:right="160"/>
      </w:pPr>
      <w:r>
        <w:rPr>
          <w:rFonts w:ascii="Consolas" w:cs="Consolas" w:eastAsia="Consolas" w:hAnsi="Consolas"/>
          <w:color w:val="1B3A2A"/>
          <w:sz w:val="19"/>
          <w:szCs w:val="19"/>
        </w:rPr>
        <w:t xml:space="preserve">Live top-5 leaderboard:     =TAKE(SORT(FILTER(Master,Master[Year]=sel_yr),7,-1),5)</w:t>
      </w:r>
    </w:p>
    <w:p>
      <w:pPr>
        <w:shd w:fill="F2F2F2" w:color="auto" w:val="clear"/>
        <w:spacing w:after="40"/>
        <w:ind w:left="160" w:right="160"/>
      </w:pPr>
      <w:r>
        <w:rPr>
          <w:rFonts w:ascii="Consolas" w:cs="Consolas" w:eastAsia="Consolas" w:hAnsi="Consolas"/>
          <w:color w:val="1B3A2A"/>
          <w:sz w:val="19"/>
          <w:szCs w:val="19"/>
        </w:rPr>
        <w:t xml:space="preserve">Three-year forecast:        =FORECAST.ETS(A41,B2:B40,A2:A40,1)</w:t>
      </w:r>
    </w:p>
    <w:p>
      <w:pPr>
        <w:spacing w:after="60"/>
      </w:pPr>
    </w:p>
    <w:p>
      <w:pPr>
        <w:spacing w:after="120" w:before="0" w:line="276"/>
      </w:pPr>
      <w:r>
        <w:rPr>
          <w:i/>
          <w:iCs/>
          <w:color w:val="555555"/>
        </w:rPr>
        <w:t xml:space="preserve">The PEI weights (for example 40% labour productivity, 30% energy efficiency, 30% yield) are deliberately held in labelled input cells, so the sensitivity of the ranking to those choices can itself be tested.</w:t>
      </w:r>
    </w:p>
    <w:p>
      <w:r>
        <w:br w:type="page"/>
      </w:r>
    </w:p>
    <w:p>
      <w:pPr>
        <w:pStyle w:val="Heading2"/>
        <w:keepNext/>
      </w:pPr>
      <w:r>
        <w:t xml:space="preserve">6.2 Worked examples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833A" w:sz="24"/>
              <w:bottom w:val="none" w:color="FFFFFF" w:sz="0"/>
              <w:right w:val="none" w:color="FFFFFF" w:sz="0"/>
            </w:tcBorders>
            <w:shd w:fill="FFF6E5" w:color="auto" w:val="clear"/>
            <w:tcMar>
              <w:top w:type="dxa" w:w="120"/>
              <w:left w:type="dxa" w:w="200"/>
              <w:bottom w:type="dxa" w:w="100"/>
              <w:right w:type="dxa" w:w="160"/>
            </w:tcMar>
          </w:tcPr>
          <w:p>
            <w:pPr>
              <w:spacing w:after="60"/>
            </w:pPr>
            <w:r>
              <w:rPr>
                <w:b/>
                <w:bCs/>
                <w:color w:val="C4651C"/>
                <w:sz w:val="22"/>
                <w:szCs w:val="22"/>
              </w:rPr>
              <w:t xml:space="preserve">How to read these examples</w:t>
            </w:r>
          </w:p>
          <w:p>
            <w:pPr>
              <w:spacing w:after="50"/>
            </w:pPr>
            <w:r>
              <w:rPr>
                <w:b/>
                <w:bCs/>
                <w:sz w:val="20"/>
                <w:szCs w:val="20"/>
              </w:rPr>
              <w:t xml:space="preserve">Example A uses real published figures</w:t>
            </w:r>
            <w:r>
              <w:rPr>
                <w:sz w:val="20"/>
                <w:szCs w:val="20"/>
              </w:rPr>
              <w:t xml:space="preserve"> (BLS employment). </w:t>
            </w:r>
            <w:r>
              <w:rPr>
                <w:b/>
                <w:bCs/>
                <w:sz w:val="20"/>
                <w:szCs w:val="20"/>
              </w:rPr>
              <w:t xml:space="preserve">Examples B to D use illustrative numbers</w:t>
            </w:r>
            <w:r>
              <w:rPr>
                <w:sz w:val="20"/>
                <w:szCs w:val="20"/>
              </w:rPr>
              <w:t xml:space="preserve"> to demonstrate the method on a six-row mini dataset. In the real project, these inputs are replaced by the cleaned data from Section 4, and the formulas stay the same.</w:t>
            </w:r>
          </w:p>
        </w:tc>
      </w:tr>
    </w:tbl>
    <w:p>
      <w:pPr>
        <w:spacing w:after="120"/>
      </w:pPr>
    </w:p>
    <w:p>
      <w:pPr>
        <w:keepNext/>
        <w:spacing w:after="120" w:before="0" w:line="276"/>
      </w:pPr>
      <w:r>
        <w:rPr>
          <w:b/>
          <w:bCs/>
        </w:rPr>
        <w:t xml:space="preserve">Example A: growth rate from real data.</w:t>
      </w:r>
      <w:r>
        <w:t xml:space="preserve"> US food manufacturing employment was 1,477.8 thousand in 2010 and 1,554.1 thousand in 2015 (BLS). The compound annual growth rate is:</w:t>
      </w:r>
    </w:p>
    <w:p>
      <w:pPr>
        <w:shd w:fill="F2F2F2" w:color="auto" w:val="clear"/>
        <w:spacing w:after="40"/>
        <w:ind w:left="160" w:right="160"/>
      </w:pPr>
      <w:r>
        <w:rPr>
          <w:rFonts w:ascii="Consolas" w:cs="Consolas" w:eastAsia="Consolas" w:hAnsi="Consolas"/>
          <w:color w:val="1B3A2A"/>
          <w:sz w:val="19"/>
          <w:szCs w:val="19"/>
        </w:rPr>
        <w:t xml:space="preserve">=(1554.1/1477.8)^(1/5)-1     // = 1.01%, about 1.0% a year (total change +5.2%)</w:t>
      </w:r>
    </w:p>
    <w:p>
      <w:pPr>
        <w:spacing w:after="100"/>
      </w:pPr>
    </w:p>
    <w:p>
      <w:pPr>
        <w:keepNext/>
        <w:spacing w:after="120" w:before="0" w:line="276"/>
      </w:pPr>
      <w:r>
        <w:rPr>
          <w:b/>
          <w:bCs/>
        </w:rPr>
        <w:t xml:space="preserve">Example B: building the Production Efficiency Index.</w:t>
      </w:r>
      <w:r>
        <w:t xml:space="preserve"> Weights: 40% labour productivity, 30% energy efficiency, 30% yield. Energy is "lower is better", so it is inverted when normalised.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950"/>
        <w:gridCol w:w="950"/>
        <w:gridCol w:w="950"/>
        <w:gridCol w:w="1000"/>
        <w:gridCol w:w="1000"/>
        <w:gridCol w:w="1000"/>
        <w:gridCol w:w="900"/>
        <w:gridCol w:w="888"/>
      </w:tblGrid>
      <w:tr>
        <w:trPr>
          <w:tblHeader/>
        </w:trPr>
        <w:tc>
          <w:tcPr>
            <w:tcW w:type="dxa" w:w="20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17"/>
                <w:szCs w:val="17"/>
              </w:rPr>
              <w:t xml:space="preserve">Segment</w:t>
            </w:r>
          </w:p>
        </w:tc>
        <w:tc>
          <w:tcPr>
            <w:tcW w:type="dxa" w:w="95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jc w:val="center"/>
            </w:pPr>
            <w:r>
              <w:rPr>
                <w:b/>
                <w:bCs/>
                <w:color w:val="FFFFFF"/>
                <w:sz w:val="17"/>
                <w:szCs w:val="17"/>
              </w:rPr>
              <w:t xml:space="preserve">Output (t/labour hr)</w:t>
            </w:r>
          </w:p>
        </w:tc>
        <w:tc>
          <w:tcPr>
            <w:tcW w:type="dxa" w:w="95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jc w:val="center"/>
            </w:pPr>
            <w:r>
              <w:rPr>
                <w:b/>
                <w:bCs/>
                <w:color w:val="FFFFFF"/>
                <w:sz w:val="17"/>
                <w:szCs w:val="17"/>
              </w:rPr>
              <w:t xml:space="preserve">Energy (kWh/t)</w:t>
            </w:r>
          </w:p>
        </w:tc>
        <w:tc>
          <w:tcPr>
            <w:tcW w:type="dxa" w:w="95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jc w:val="center"/>
            </w:pPr>
            <w:r>
              <w:rPr>
                <w:b/>
                <w:bCs/>
                <w:color w:val="FFFFFF"/>
                <w:sz w:val="17"/>
                <w:szCs w:val="17"/>
              </w:rPr>
              <w:t xml:space="preserve">Yield (%)</w:t>
            </w:r>
          </w:p>
        </w:tc>
        <w:tc>
          <w:tcPr>
            <w:tcW w:type="dxa" w:w="10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jc w:val="center"/>
            </w:pPr>
            <w:r>
              <w:rPr>
                <w:b/>
                <w:bCs/>
                <w:color w:val="FFFFFF"/>
                <w:sz w:val="17"/>
                <w:szCs w:val="17"/>
              </w:rPr>
              <w:t xml:space="preserve">Norm. output</w:t>
            </w:r>
          </w:p>
        </w:tc>
        <w:tc>
          <w:tcPr>
            <w:tcW w:type="dxa" w:w="10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jc w:val="center"/>
            </w:pPr>
            <w:r>
              <w:rPr>
                <w:b/>
                <w:bCs/>
                <w:color w:val="FFFFFF"/>
                <w:sz w:val="17"/>
                <w:szCs w:val="17"/>
              </w:rPr>
              <w:t xml:space="preserve">Norm. energy</w:t>
            </w:r>
          </w:p>
        </w:tc>
        <w:tc>
          <w:tcPr>
            <w:tcW w:type="dxa" w:w="10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jc w:val="center"/>
            </w:pPr>
            <w:r>
              <w:rPr>
                <w:b/>
                <w:bCs/>
                <w:color w:val="FFFFFF"/>
                <w:sz w:val="17"/>
                <w:szCs w:val="17"/>
              </w:rPr>
              <w:t xml:space="preserve">Norm. yield</w:t>
            </w:r>
          </w:p>
        </w:tc>
        <w:tc>
          <w:tcPr>
            <w:tcW w:type="dxa" w:w="9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jc w:val="center"/>
            </w:pPr>
            <w:r>
              <w:rPr>
                <w:b/>
                <w:bCs/>
                <w:color w:val="FFFFFF"/>
                <w:sz w:val="17"/>
                <w:szCs w:val="17"/>
              </w:rPr>
              <w:t xml:space="preserve">PEI</w:t>
            </w:r>
          </w:p>
        </w:tc>
        <w:tc>
          <w:tcPr>
            <w:tcW w:type="dxa" w:w="88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jc w:val="center"/>
            </w:pPr>
            <w:r>
              <w:rPr>
                <w:b/>
                <w:bCs/>
                <w:color w:val="FFFFFF"/>
                <w:sz w:val="17"/>
                <w:szCs w:val="17"/>
              </w:rPr>
              <w:t xml:space="preserve">Rank</w:t>
            </w:r>
          </w:p>
        </w:tc>
      </w:tr>
      <w:tr>
        <w:trPr>
          <w:cantSplit/>
        </w:trPr>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17"/>
                <w:szCs w:val="17"/>
              </w:rPr>
              <w:t xml:space="preserve">Edible oils</w:t>
            </w:r>
          </w:p>
        </w:tc>
        <w:tc>
          <w:tcPr>
            <w:tcW w:type="dxa" w:w="95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6.5</w:t>
            </w:r>
          </w:p>
        </w:tc>
        <w:tc>
          <w:tcPr>
            <w:tcW w:type="dxa" w:w="95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140</w:t>
            </w:r>
          </w:p>
        </w:tc>
        <w:tc>
          <w:tcPr>
            <w:tcW w:type="dxa" w:w="95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88</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1.000</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0.686</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0.739</w:t>
            </w:r>
          </w:p>
        </w:tc>
        <w:tc>
          <w:tcPr>
            <w:tcW w:type="dxa" w:w="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b/>
                <w:bCs/>
                <w:sz w:val="17"/>
                <w:szCs w:val="17"/>
              </w:rPr>
              <w:t xml:space="preserve">0.827</w:t>
            </w:r>
          </w:p>
        </w:tc>
        <w:tc>
          <w:tcPr>
            <w:tcW w:type="dxa" w:w="88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1</w:t>
            </w:r>
          </w:p>
        </w:tc>
      </w:tr>
      <w:tr>
        <w:trPr>
          <w:cantSplit/>
        </w:trPr>
        <w:tc>
          <w:tcPr>
            <w:tcW w:type="dxa" w:w="2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17"/>
                <w:szCs w:val="17"/>
              </w:rPr>
              <w:t xml:space="preserve">Cereal milling</w:t>
            </w:r>
          </w:p>
        </w:tc>
        <w:tc>
          <w:tcPr>
            <w:tcW w:type="dxa" w:w="95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5.1</w:t>
            </w:r>
          </w:p>
        </w:tc>
        <w:tc>
          <w:tcPr>
            <w:tcW w:type="dxa" w:w="95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85</w:t>
            </w:r>
          </w:p>
        </w:tc>
        <w:tc>
          <w:tcPr>
            <w:tcW w:type="dxa" w:w="95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76</w:t>
            </w:r>
          </w:p>
        </w:tc>
        <w:tc>
          <w:tcPr>
            <w:tcW w:type="dxa" w:w="1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0.696</w:t>
            </w:r>
          </w:p>
        </w:tc>
        <w:tc>
          <w:tcPr>
            <w:tcW w:type="dxa" w:w="1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1.000</w:t>
            </w:r>
          </w:p>
        </w:tc>
        <w:tc>
          <w:tcPr>
            <w:tcW w:type="dxa" w:w="1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0.217</w:t>
            </w:r>
          </w:p>
        </w:tc>
        <w:tc>
          <w:tcPr>
            <w:tcW w:type="dxa" w:w="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b/>
                <w:bCs/>
                <w:sz w:val="17"/>
                <w:szCs w:val="17"/>
              </w:rPr>
              <w:t xml:space="preserve">0.643</w:t>
            </w:r>
          </w:p>
        </w:tc>
        <w:tc>
          <w:tcPr>
            <w:tcW w:type="dxa" w:w="88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2</w:t>
            </w:r>
          </w:p>
        </w:tc>
      </w:tr>
      <w:tr>
        <w:trPr>
          <w:cantSplit/>
        </w:trPr>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17"/>
                <w:szCs w:val="17"/>
              </w:rPr>
              <w:t xml:space="preserve">Dairy</w:t>
            </w:r>
          </w:p>
        </w:tc>
        <w:tc>
          <w:tcPr>
            <w:tcW w:type="dxa" w:w="95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3.2</w:t>
            </w:r>
          </w:p>
        </w:tc>
        <w:tc>
          <w:tcPr>
            <w:tcW w:type="dxa" w:w="95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210</w:t>
            </w:r>
          </w:p>
        </w:tc>
        <w:tc>
          <w:tcPr>
            <w:tcW w:type="dxa" w:w="95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94</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0.283</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0.286</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1.000</w:t>
            </w:r>
          </w:p>
        </w:tc>
        <w:tc>
          <w:tcPr>
            <w:tcW w:type="dxa" w:w="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b/>
                <w:bCs/>
                <w:sz w:val="17"/>
                <w:szCs w:val="17"/>
              </w:rPr>
              <w:t xml:space="preserve">0.499</w:t>
            </w:r>
          </w:p>
        </w:tc>
        <w:tc>
          <w:tcPr>
            <w:tcW w:type="dxa" w:w="88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3</w:t>
            </w:r>
          </w:p>
        </w:tc>
      </w:tr>
      <w:tr>
        <w:trPr>
          <w:cantSplit/>
        </w:trPr>
        <w:tc>
          <w:tcPr>
            <w:tcW w:type="dxa" w:w="2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17"/>
                <w:szCs w:val="17"/>
              </w:rPr>
              <w:t xml:space="preserve">NutriLine Foods</w:t>
            </w:r>
          </w:p>
        </w:tc>
        <w:tc>
          <w:tcPr>
            <w:tcW w:type="dxa" w:w="95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3.0</w:t>
            </w:r>
          </w:p>
        </w:tc>
        <w:tc>
          <w:tcPr>
            <w:tcW w:type="dxa" w:w="95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230</w:t>
            </w:r>
          </w:p>
        </w:tc>
        <w:tc>
          <w:tcPr>
            <w:tcW w:type="dxa" w:w="95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80</w:t>
            </w:r>
          </w:p>
        </w:tc>
        <w:tc>
          <w:tcPr>
            <w:tcW w:type="dxa" w:w="1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0.239</w:t>
            </w:r>
          </w:p>
        </w:tc>
        <w:tc>
          <w:tcPr>
            <w:tcW w:type="dxa" w:w="1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0.171</w:t>
            </w:r>
          </w:p>
        </w:tc>
        <w:tc>
          <w:tcPr>
            <w:tcW w:type="dxa" w:w="1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0.391</w:t>
            </w:r>
          </w:p>
        </w:tc>
        <w:tc>
          <w:tcPr>
            <w:tcW w:type="dxa" w:w="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b/>
                <w:bCs/>
                <w:sz w:val="17"/>
                <w:szCs w:val="17"/>
              </w:rPr>
              <w:t xml:space="preserve">0.264</w:t>
            </w:r>
          </w:p>
        </w:tc>
        <w:tc>
          <w:tcPr>
            <w:tcW w:type="dxa" w:w="88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b/>
                <w:bCs/>
                <w:sz w:val="17"/>
                <w:szCs w:val="17"/>
              </w:rPr>
              <w:t xml:space="preserve">4</w:t>
            </w:r>
          </w:p>
        </w:tc>
      </w:tr>
      <w:tr>
        <w:trPr>
          <w:cantSplit/>
        </w:trPr>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17"/>
                <w:szCs w:val="17"/>
              </w:rPr>
              <w:t xml:space="preserve">Meat</w:t>
            </w:r>
          </w:p>
        </w:tc>
        <w:tc>
          <w:tcPr>
            <w:tcW w:type="dxa" w:w="95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2.4</w:t>
            </w:r>
          </w:p>
        </w:tc>
        <w:tc>
          <w:tcPr>
            <w:tcW w:type="dxa" w:w="95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190</w:t>
            </w:r>
          </w:p>
        </w:tc>
        <w:tc>
          <w:tcPr>
            <w:tcW w:type="dxa" w:w="95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71</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0.109</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0.400</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0.000</w:t>
            </w:r>
          </w:p>
        </w:tc>
        <w:tc>
          <w:tcPr>
            <w:tcW w:type="dxa" w:w="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b/>
                <w:bCs/>
                <w:sz w:val="17"/>
                <w:szCs w:val="17"/>
              </w:rPr>
              <w:t xml:space="preserve">0.163</w:t>
            </w:r>
          </w:p>
        </w:tc>
        <w:tc>
          <w:tcPr>
            <w:tcW w:type="dxa" w:w="88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17"/>
                <w:szCs w:val="17"/>
              </w:rPr>
              <w:t xml:space="preserve">5</w:t>
            </w:r>
          </w:p>
        </w:tc>
      </w:tr>
      <w:tr>
        <w:trPr>
          <w:cantSplit/>
        </w:trPr>
        <w:tc>
          <w:tcPr>
            <w:tcW w:type="dxa" w:w="2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17"/>
                <w:szCs w:val="17"/>
              </w:rPr>
              <w:t xml:space="preserve">Fruit and veg</w:t>
            </w:r>
          </w:p>
        </w:tc>
        <w:tc>
          <w:tcPr>
            <w:tcW w:type="dxa" w:w="95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1.9</w:t>
            </w:r>
          </w:p>
        </w:tc>
        <w:tc>
          <w:tcPr>
            <w:tcW w:type="dxa" w:w="95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260</w:t>
            </w:r>
          </w:p>
        </w:tc>
        <w:tc>
          <w:tcPr>
            <w:tcW w:type="dxa" w:w="95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82</w:t>
            </w:r>
          </w:p>
        </w:tc>
        <w:tc>
          <w:tcPr>
            <w:tcW w:type="dxa" w:w="1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0.000</w:t>
            </w:r>
          </w:p>
        </w:tc>
        <w:tc>
          <w:tcPr>
            <w:tcW w:type="dxa" w:w="1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0.000</w:t>
            </w:r>
          </w:p>
        </w:tc>
        <w:tc>
          <w:tcPr>
            <w:tcW w:type="dxa" w:w="1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0.478</w:t>
            </w:r>
          </w:p>
        </w:tc>
        <w:tc>
          <w:tcPr>
            <w:tcW w:type="dxa" w:w="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b/>
                <w:bCs/>
                <w:sz w:val="17"/>
                <w:szCs w:val="17"/>
              </w:rPr>
              <w:t xml:space="preserve">0.143</w:t>
            </w:r>
          </w:p>
        </w:tc>
        <w:tc>
          <w:tcPr>
            <w:tcW w:type="dxa" w:w="88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17"/>
                <w:szCs w:val="17"/>
              </w:rPr>
              <w:t xml:space="preserve">6</w:t>
            </w:r>
          </w:p>
        </w:tc>
      </w:tr>
    </w:tbl>
    <w:p>
      <w:pPr>
        <w:spacing w:after="60"/>
      </w:pPr>
    </w:p>
    <w:p>
      <w:pPr>
        <w:keepNext/>
        <w:spacing w:after="120" w:before="0" w:line="276"/>
      </w:pPr>
      <w:r>
        <w:t xml:space="preserve">Working for NutriLine Foods:</w:t>
      </w:r>
    </w:p>
    <w:p>
      <w:pPr>
        <w:shd w:fill="F2F2F2" w:color="auto" w:val="clear"/>
        <w:spacing w:after="40"/>
        <w:ind w:left="160" w:right="160"/>
      </w:pPr>
      <w:r>
        <w:rPr>
          <w:rFonts w:ascii="Consolas" w:cs="Consolas" w:eastAsia="Consolas" w:hAnsi="Consolas"/>
          <w:color w:val="1B3A2A"/>
          <w:sz w:val="19"/>
          <w:szCs w:val="19"/>
        </w:rPr>
        <w:t xml:space="preserve">Norm. output = (3.0-1.9)/(6.5-1.9)   = 0.239</w:t>
      </w:r>
    </w:p>
    <w:p>
      <w:pPr>
        <w:shd w:fill="F2F2F2" w:color="auto" w:val="clear"/>
        <w:spacing w:after="40"/>
        <w:ind w:left="160" w:right="160"/>
      </w:pPr>
      <w:r>
        <w:rPr>
          <w:rFonts w:ascii="Consolas" w:cs="Consolas" w:eastAsia="Consolas" w:hAnsi="Consolas"/>
          <w:color w:val="1B3A2A"/>
          <w:sz w:val="19"/>
          <w:szCs w:val="19"/>
        </w:rPr>
        <w:t xml:space="preserve">Norm. energy = (260-230)/(260-85)    = 0.171   // inverted: lower is better</w:t>
      </w:r>
    </w:p>
    <w:p>
      <w:pPr>
        <w:shd w:fill="F2F2F2" w:color="auto" w:val="clear"/>
        <w:spacing w:after="40"/>
        <w:ind w:left="160" w:right="160"/>
      </w:pPr>
      <w:r>
        <w:rPr>
          <w:rFonts w:ascii="Consolas" w:cs="Consolas" w:eastAsia="Consolas" w:hAnsi="Consolas"/>
          <w:color w:val="1B3A2A"/>
          <w:sz w:val="19"/>
          <w:szCs w:val="19"/>
        </w:rPr>
        <w:t xml:space="preserve">Norm. yield  = (80-71)/(94-71)       = 0.391</w:t>
      </w:r>
    </w:p>
    <w:p>
      <w:pPr>
        <w:shd w:fill="F2F2F2" w:color="auto" w:val="clear"/>
        <w:spacing w:after="40"/>
        <w:ind w:left="160" w:right="160"/>
      </w:pPr>
      <w:r>
        <w:rPr>
          <w:rFonts w:ascii="Consolas" w:cs="Consolas" w:eastAsia="Consolas" w:hAnsi="Consolas"/>
          <w:color w:val="1B3A2A"/>
          <w:sz w:val="19"/>
          <w:szCs w:val="19"/>
        </w:rPr>
        <w:t xml:space="preserve">PEI = 0.4*0.239 + 0.3*0.171 + 0.3*0.391 = 0.264</w:t>
      </w:r>
    </w:p>
    <w:p>
      <w:pPr>
        <w:spacing w:after="60"/>
      </w:pPr>
    </w:p>
    <w:p>
      <w:pPr>
        <w:spacing w:after="120" w:before="0" w:line="276"/>
      </w:pPr>
      <w:r>
        <w:rPr>
          <w:b/>
          <w:bCs/>
        </w:rPr>
        <w:t xml:space="preserve">Reading the result:</w:t>
      </w:r>
      <w:r>
        <w:t xml:space="preserve"> NutriLine ranks 4th of 6. Its weakest component is energy (0.171 against a best of 1.000), which suggests starting with energy. Section 8.2 then checks whether that is also where the money is.</w:t>
      </w:r>
    </w:p>
    <w:p>
      <w:pPr>
        <w:keepNext/>
        <w:spacing w:after="120" w:before="0" w:line="276"/>
      </w:pPr>
      <w:r>
        <w:rPr>
          <w:b/>
          <w:bCs/>
        </w:rPr>
        <w:t xml:space="preserve">Example C: what-if value of a 10% energy cut.</w:t>
      </w:r>
      <w:r>
        <w:t xml:space="preserve"> Energy falls from 230 to 207 kWh/t, so the normalised energy score becomes (260-207)/175 = 0.303 and the PEI rises from 0.264 to </w:t>
      </w:r>
      <w:r>
        <w:rPr>
          <w:b/>
          <w:bCs/>
        </w:rPr>
        <w:t xml:space="preserve">0.304</w:t>
      </w:r>
      <w:r>
        <w:t xml:space="preserve"> (+0.040, a 15% improvement). The rank stays 4th. Assuming (for illustration) 20,000 tonnes a year and electricity at $0.10 per kWh:</w:t>
      </w:r>
    </w:p>
    <w:p>
      <w:pPr>
        <w:shd w:fill="F2F2F2" w:color="auto" w:val="clear"/>
        <w:spacing w:after="40"/>
        <w:ind w:left="160" w:right="160"/>
      </w:pPr>
      <w:r>
        <w:rPr>
          <w:rFonts w:ascii="Consolas" w:cs="Consolas" w:eastAsia="Consolas" w:hAnsi="Consolas"/>
          <w:color w:val="1B3A2A"/>
          <w:sz w:val="19"/>
          <w:szCs w:val="19"/>
        </w:rPr>
        <w:t xml:space="preserve">Annual saving = 23 kWh/t x 20,000 t x $0.10 = $46,000 a year</w:t>
      </w:r>
    </w:p>
    <w:p>
      <w:pPr>
        <w:spacing w:after="60"/>
      </w:pPr>
    </w:p>
    <w:p>
      <w:pPr>
        <w:spacing w:after="120" w:before="0" w:line="276"/>
      </w:pPr>
      <w:r>
        <w:t xml:space="preserve">Goal Seek answers the reverse question: what energy use would lift NutriLine to Dairy's PEI of 0.499? The answer is about </w:t>
      </w:r>
      <w:r>
        <w:rPr>
          <w:b/>
          <w:bCs/>
        </w:rPr>
        <w:t xml:space="preserve">93 kWh/t, a 59% cut</w:t>
      </w:r>
      <w:r>
        <w:t xml:space="preserve">, which is unrealistic. So energy alone cannot close the gap, and yield and labour productivity must improve too. That is the kind of finding the what-if panel is designed to surface.</w:t>
      </w:r>
    </w:p>
    <w:p>
      <w:pPr>
        <w:keepNext/>
        <w:spacing w:after="120" w:before="0" w:line="276"/>
      </w:pPr>
      <w:r>
        <w:rPr>
          <w:b/>
          <w:bCs/>
        </w:rPr>
        <w:t xml:space="preserve">Example D: data-quality gates in action.</w:t>
      </w:r>
    </w:p>
    <w:p>
      <w:pPr>
        <w:pStyle w:val="ListParagraph"/>
        <w:numPr>
          <w:ilvl w:val="0"/>
          <w:numId w:val="2"/>
        </w:numPr>
        <w:spacing w:after="60" w:line="276"/>
      </w:pPr>
      <w:r>
        <w:rPr>
          <w:b/>
          <w:bCs/>
        </w:rPr>
        <w:t xml:space="preserve">CCP1 (completeness):</w:t>
      </w:r>
      <w:r>
        <w:t xml:space="preserve"> a key column has 4 blanks in 60 rows. =COUNTBLANK(D2:D61)/ROWS(D2:D61) gives 6.7%, above the 5% limit, so the column </w:t>
      </w:r>
      <w:r>
        <w:rPr>
          <w:b/>
          <w:bCs/>
        </w:rPr>
        <w:t xml:space="preserve">fails</w:t>
      </w:r>
      <w:r>
        <w:t xml:space="preserve"> and must be repaired or excluded.</w:t>
      </w:r>
    </w:p>
    <w:p>
      <w:pPr>
        <w:pStyle w:val="ListParagraph"/>
        <w:numPr>
          <w:ilvl w:val="0"/>
          <w:numId w:val="2"/>
        </w:numPr>
        <w:spacing w:after="60" w:line="276"/>
      </w:pPr>
      <w:r>
        <w:rPr>
          <w:b/>
          <w:bCs/>
        </w:rPr>
        <w:t xml:space="preserve">CCP3 (plausibility):</w:t>
      </w:r>
      <w:r>
        <w:t xml:space="preserve"> a column has mean 100 and standard deviation 12. A value of 142 has z = (142-100)/12 = </w:t>
      </w:r>
      <w:r>
        <w:rPr>
          <w:b/>
          <w:bCs/>
        </w:rPr>
        <w:t xml:space="preserve">3.5</w:t>
      </w:r>
      <w:r>
        <w:t xml:space="preserve">, above 3, so it is flagged red and checked against the source before it is kept or corrected.</w:t>
      </w:r>
    </w:p>
    <w:p>
      <w:pPr>
        <w:spacing w:after="120" w:before="80" w:line="276"/>
      </w:pPr>
      <w:r>
        <w:rPr>
          <w:b/>
          <w:bCs/>
        </w:rPr>
        <w:t xml:space="preserve">Testing the hypotheses.</w:t>
      </w:r>
      <w:r>
        <w:t xml:space="preserve"> The full step-by-step tests for H1 to H4, including a pilot on real FAO data, are in Section 7. Robustness checks and scenarios are in Section 8.</w:t>
      </w:r>
    </w:p>
    <w:p>
      <w:pPr>
        <w:pStyle w:val="Heading2"/>
        <w:keepNext/>
      </w:pPr>
      <w:r>
        <w:t xml:space="preserve">6.3 Dashboard design</w:t>
      </w:r>
    </w:p>
    <w:p>
      <w:pPr>
        <w:pStyle w:val="ListParagraph"/>
        <w:numPr>
          <w:ilvl w:val="0"/>
          <w:numId w:val="2"/>
        </w:numPr>
        <w:spacing w:after="60" w:line="276"/>
      </w:pPr>
      <w:r>
        <w:rPr>
          <w:b/>
          <w:bCs/>
        </w:rPr>
        <w:t xml:space="preserve">Top row:</w:t>
      </w:r>
      <w:r>
        <w:t xml:space="preserve"> four KPI cards (average PEI, output per worker, energy per tonne, forecast growth) with icon-set arrows and sparklines.</w:t>
      </w:r>
    </w:p>
    <w:p>
      <w:pPr>
        <w:pStyle w:val="ListParagraph"/>
        <w:numPr>
          <w:ilvl w:val="0"/>
          <w:numId w:val="2"/>
        </w:numPr>
        <w:spacing w:after="60" w:line="276"/>
      </w:pPr>
      <w:r>
        <w:rPr>
          <w:b/>
          <w:bCs/>
        </w:rPr>
        <w:t xml:space="preserve">Controls:</w:t>
      </w:r>
      <w:r>
        <w:t xml:space="preserve"> slicers for Year, Region and Segment, plus a timeline for monthly data.</w:t>
      </w:r>
    </w:p>
    <w:p>
      <w:pPr>
        <w:pStyle w:val="ListParagraph"/>
        <w:numPr>
          <w:ilvl w:val="0"/>
          <w:numId w:val="2"/>
        </w:numPr>
        <w:spacing w:after="60" w:line="276"/>
      </w:pPr>
      <w:r>
        <w:rPr>
          <w:b/>
          <w:bCs/>
        </w:rPr>
        <w:t xml:space="preserve">Centre:</w:t>
      </w:r>
      <w:r>
        <w:t xml:space="preserve"> trend line for production volume, colour-scaled heat map of PEI by segment and year.</w:t>
      </w:r>
    </w:p>
    <w:p>
      <w:pPr>
        <w:pStyle w:val="ListParagraph"/>
        <w:numPr>
          <w:ilvl w:val="0"/>
          <w:numId w:val="2"/>
        </w:numPr>
        <w:spacing w:after="60" w:line="276"/>
      </w:pPr>
      <w:r>
        <w:rPr>
          <w:b/>
          <w:bCs/>
        </w:rPr>
        <w:t xml:space="preserve">Bottom:</w:t>
      </w:r>
      <w:r>
        <w:t xml:space="preserve"> scatter of capital per worker against output per worker (H1) and a waterfall chart showing the value of closing each NutriLine gap.</w:t>
      </w:r>
    </w:p>
    <w:p>
      <w:r>
        <w:br w:type="page"/>
      </w:r>
    </w:p>
    <w:p>
      <w:pPr>
        <w:pStyle w:val="Heading1"/>
        <w:keepNext/>
      </w:pPr>
      <w:r>
        <w:t xml:space="preserve">7. Testing the Hypotheses: Worked Step by Step</w:t>
      </w:r>
    </w:p>
    <w:p>
      <w:pPr>
        <w:spacing w:after="120" w:before="0" w:line="276"/>
      </w:pPr>
      <w:r>
        <w:t xml:space="preserve">Every hypothesis gets the same treatment: the data, the Excel steps with formulas, the result, the pre-set decision rule from Section 2.4, and a verdict.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833A" w:sz="24"/>
              <w:bottom w:val="none" w:color="FFFFFF" w:sz="0"/>
              <w:right w:val="none" w:color="FFFFFF" w:sz="0"/>
            </w:tcBorders>
            <w:shd w:fill="FFF6E5" w:color="auto" w:val="clear"/>
            <w:tcMar>
              <w:top w:type="dxa" w:w="120"/>
              <w:left w:type="dxa" w:w="200"/>
              <w:bottom w:type="dxa" w:w="100"/>
              <w:right w:type="dxa" w:w="160"/>
            </w:tcMar>
          </w:tcPr>
          <w:p>
            <w:pPr>
              <w:spacing w:after="60"/>
            </w:pPr>
            <w:r>
              <w:rPr>
                <w:b/>
                <w:bCs/>
                <w:color w:val="C4651C"/>
                <w:sz w:val="22"/>
                <w:szCs w:val="22"/>
              </w:rPr>
              <w:t xml:space="preserve">What is real and what is illustrative</w:t>
            </w:r>
          </w:p>
          <w:p>
            <w:pPr>
              <w:spacing w:after="50"/>
            </w:pPr>
            <w:r>
              <w:rPr>
                <w:b/>
                <w:bCs/>
                <w:sz w:val="20"/>
                <w:szCs w:val="20"/>
              </w:rPr>
              <w:t xml:space="preserve">H4 is run on real FAO data</w:t>
            </w:r>
            <w:r>
              <w:rPr>
                <w:sz w:val="20"/>
                <w:szCs w:val="20"/>
              </w:rPr>
              <w:t xml:space="preserve"> (142 countries, 1961 to 2013), so its numbers are genuine findings from a pilot.</w:t>
            </w:r>
          </w:p>
          <w:p>
            <w:pPr>
              <w:spacing w:after="50"/>
            </w:pPr>
            <w:r>
              <w:rPr>
                <w:b/>
                <w:bCs/>
                <w:sz w:val="20"/>
                <w:szCs w:val="20"/>
              </w:rPr>
              <w:t xml:space="preserve">H1 to H3 need factory-level, price and energy data</w:t>
            </w:r>
            <w:r>
              <w:rPr>
                <w:sz w:val="20"/>
                <w:szCs w:val="20"/>
              </w:rPr>
              <w:t xml:space="preserve"> that are collected in Phase 2. Until then they use small illustrative datasets to show the exact steps and formulas. In the real run the cleaned master table replaces these inputs and nothing else changes.</w:t>
            </w:r>
          </w:p>
        </w:tc>
      </w:tr>
    </w:tbl>
    <w:p>
      <w:pPr>
        <w:pStyle w:val="Heading2"/>
        <w:keepNext/>
      </w:pPr>
      <w:r>
        <w:t xml:space="preserve">7.1 H4: are staples steadier than perishables? (real FAO data)</w:t>
      </w:r>
    </w:p>
    <w:p>
      <w:pPr>
        <w:keepNext/>
        <w:spacing w:after="120" w:before="0" w:line="276"/>
      </w:pPr>
      <w:r>
        <w:rPr>
          <w:b/>
          <w:bCs/>
        </w:rPr>
        <w:t xml:space="preserve">Data:</w:t>
      </w:r>
      <w:r>
        <w:t xml:space="preserve"> FAO diet compositions (kilocalories per person per day) from Our World in Data, 1961 to 2013, using the 142 countries with complete series. Staple = cereals and grains. Perishables = fruit and vegetables, dairy and eggs, and meat.</w:t>
      </w:r>
    </w:p>
    <w:p>
      <w:pPr>
        <w:pStyle w:val="ListParagraph"/>
        <w:numPr>
          <w:ilvl w:val="0"/>
          <w:numId w:val="4"/>
        </w:numPr>
        <w:spacing w:after="80" w:line="276"/>
      </w:pPr>
      <w:r>
        <w:rPr>
          <w:b/>
          <w:bCs/>
        </w:rPr>
        <w:t xml:space="preserve">Arrange the data</w:t>
      </w:r>
      <w:r>
        <w:t xml:space="preserve"> as Country, Year, Category, kcal, sorted by Country, Category, then Year.</w:t>
      </w:r>
    </w:p>
    <w:p>
      <w:pPr>
        <w:pStyle w:val="ListParagraph"/>
        <w:numPr>
          <w:ilvl w:val="0"/>
          <w:numId w:val="4"/>
        </w:numPr>
        <w:spacing w:after="80" w:line="276"/>
      </w:pPr>
      <w:r>
        <w:rPr>
          <w:b/>
          <w:bCs/>
        </w:rPr>
        <w:t xml:space="preserve">Year-on-year change:</w:t>
      </w:r>
      <w:r>
        <w:t xml:space="preserve"> =IF(A3=A2,(D3-D2)/D2,"") so the calculation restarts at each new country and category.</w:t>
      </w:r>
    </w:p>
    <w:p>
      <w:pPr>
        <w:pStyle w:val="ListParagraph"/>
        <w:numPr>
          <w:ilvl w:val="0"/>
          <w:numId w:val="4"/>
        </w:numPr>
        <w:spacing w:after="80" w:line="276"/>
      </w:pPr>
      <w:r>
        <w:rPr>
          <w:b/>
          <w:bCs/>
        </w:rPr>
        <w:t xml:space="preserve">Volatility:</w:t>
      </w:r>
      <w:r>
        <w:t xml:space="preserve"> the standard deviation of those changes, built as a PivotTable (Values field set to StdDev) by Country and Category.</w:t>
      </w:r>
    </w:p>
    <w:p>
      <w:pPr>
        <w:pStyle w:val="ListParagraph"/>
        <w:numPr>
          <w:ilvl w:val="0"/>
          <w:numId w:val="4"/>
        </w:numPr>
        <w:spacing w:after="80" w:line="276"/>
      </w:pPr>
      <w:r>
        <w:rPr>
          <w:b/>
          <w:bCs/>
        </w:rPr>
        <w:t xml:space="preserve">Ratio per country:</w:t>
      </w:r>
      <w:r>
        <w:t xml:space="preserve"> perishable volatility divided by cereal volatility. Summarise with =MEDIAN(ratio) and =COUNTIF(ratio,"&gt;=2")/COUNT(ratio).</w:t>
      </w:r>
    </w:p>
    <w:p>
      <w:pPr>
        <w:keepNext/>
        <w:spacing w:after="120" w:before="100" w:line="276"/>
      </w:pPr>
      <w:r>
        <w:rPr>
          <w:b/>
          <w:bCs/>
        </w:rPr>
        <w:t xml:space="preserve">Worked example with real numbers:</w:t>
      </w:r>
      <w:r>
        <w:t xml:space="preserve"> India, 2008 to 2013 (kcal per person per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2538"/>
        <w:gridCol w:w="2000"/>
      </w:tblGrid>
      <w:tr>
        <w:trPr>
          <w:tblHeader/>
        </w:trPr>
        <w:tc>
          <w:tcPr>
            <w:tcW w:type="dxa" w:w="17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r>
              <w:rPr>
                <w:b/>
                <w:bCs/>
                <w:color w:val="FFFFFF"/>
                <w:sz w:val="20"/>
                <w:szCs w:val="20"/>
              </w:rPr>
              <w:t xml:space="preserve">Year</w:t>
            </w:r>
          </w:p>
        </w:tc>
        <w:tc>
          <w:tcPr>
            <w:tcW w:type="dxa" w:w="19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Cereals</w:t>
            </w:r>
          </w:p>
        </w:tc>
        <w:tc>
          <w:tcPr>
            <w:tcW w:type="dxa" w:w="15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YoY change</w:t>
            </w:r>
          </w:p>
        </w:tc>
        <w:tc>
          <w:tcPr>
            <w:tcW w:type="dxa" w:w="25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Fruit and vegetables</w:t>
            </w:r>
          </w:p>
        </w:tc>
        <w:tc>
          <w:tcPr>
            <w:tcW w:type="dxa" w:w="20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YoY change</w:t>
            </w:r>
          </w:p>
        </w:tc>
      </w:tr>
      <w:tr>
        <w:trPr>
          <w:cantSplit/>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2008</w:t>
            </w:r>
          </w:p>
        </w:tc>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1,418</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w:t>
            </w:r>
          </w:p>
        </w:tc>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113</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w:t>
            </w:r>
          </w:p>
        </w:tc>
      </w:tr>
      <w:tr>
        <w:trPr>
          <w:cantSplit/>
        </w:trPr>
        <w:tc>
          <w:tcPr>
            <w:tcW w:type="dxa" w:w="1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pPr>
            <w:r>
              <w:rPr>
                <w:sz w:val="20"/>
                <w:szCs w:val="20"/>
              </w:rPr>
              <w:t xml:space="preserve">2009</w:t>
            </w:r>
          </w:p>
        </w:tc>
        <w:tc>
          <w:tcPr>
            <w:tcW w:type="dxa" w:w="1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1,381</w:t>
            </w:r>
          </w:p>
        </w:tc>
        <w:tc>
          <w:tcPr>
            <w:tcW w:type="dxa" w:w="1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-2.61%</w:t>
            </w:r>
          </w:p>
        </w:tc>
        <w:tc>
          <w:tcPr>
            <w:tcW w:type="dxa" w:w="25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110</w:t>
            </w:r>
          </w:p>
        </w:tc>
        <w:tc>
          <w:tcPr>
            <w:tcW w:type="dxa" w:w="2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-2.65%</w:t>
            </w:r>
          </w:p>
        </w:tc>
      </w:tr>
      <w:tr>
        <w:trPr>
          <w:cantSplit/>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2010</w:t>
            </w:r>
          </w:p>
        </w:tc>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1,404</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+1.67%</w:t>
            </w:r>
          </w:p>
        </w:tc>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119</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+8.18%</w:t>
            </w:r>
          </w:p>
        </w:tc>
      </w:tr>
      <w:tr>
        <w:trPr>
          <w:cantSplit/>
        </w:trPr>
        <w:tc>
          <w:tcPr>
            <w:tcW w:type="dxa" w:w="1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pPr>
            <w:r>
              <w:rPr>
                <w:sz w:val="20"/>
                <w:szCs w:val="20"/>
              </w:rPr>
              <w:t xml:space="preserve">2011</w:t>
            </w:r>
          </w:p>
        </w:tc>
        <w:tc>
          <w:tcPr>
            <w:tcW w:type="dxa" w:w="1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1,386</w:t>
            </w:r>
          </w:p>
        </w:tc>
        <w:tc>
          <w:tcPr>
            <w:tcW w:type="dxa" w:w="1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-1.28%</w:t>
            </w:r>
          </w:p>
        </w:tc>
        <w:tc>
          <w:tcPr>
            <w:tcW w:type="dxa" w:w="25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122</w:t>
            </w:r>
          </w:p>
        </w:tc>
        <w:tc>
          <w:tcPr>
            <w:tcW w:type="dxa" w:w="2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+2.52%</w:t>
            </w:r>
          </w:p>
        </w:tc>
      </w:tr>
      <w:tr>
        <w:trPr>
          <w:cantSplit/>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2012</w:t>
            </w:r>
          </w:p>
        </w:tc>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1,344</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-3.03%</w:t>
            </w:r>
          </w:p>
        </w:tc>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124</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+1.64%</w:t>
            </w:r>
          </w:p>
        </w:tc>
      </w:tr>
      <w:tr>
        <w:trPr>
          <w:cantSplit/>
        </w:trPr>
        <w:tc>
          <w:tcPr>
            <w:tcW w:type="dxa" w:w="1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pPr>
            <w:r>
              <w:rPr>
                <w:sz w:val="20"/>
                <w:szCs w:val="20"/>
              </w:rPr>
              <w:t xml:space="preserve">2013</w:t>
            </w:r>
          </w:p>
        </w:tc>
        <w:tc>
          <w:tcPr>
            <w:tcW w:type="dxa" w:w="1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1,361</w:t>
            </w:r>
          </w:p>
        </w:tc>
        <w:tc>
          <w:tcPr>
            <w:tcW w:type="dxa" w:w="1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+1.26%</w:t>
            </w:r>
          </w:p>
        </w:tc>
        <w:tc>
          <w:tcPr>
            <w:tcW w:type="dxa" w:w="25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131</w:t>
            </w:r>
          </w:p>
        </w:tc>
        <w:tc>
          <w:tcPr>
            <w:tcW w:type="dxa" w:w="2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+5.65%</w:t>
            </w:r>
          </w:p>
        </w:tc>
      </w:tr>
      <w:tr>
        <w:trPr>
          <w:cantSplit/>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val="false"/>
              <w:spacing w:after="40"/>
            </w:pPr>
            <w:r>
              <w:rPr>
                <w:b/>
                <w:bCs/>
                <w:sz w:val="20"/>
                <w:szCs w:val="20"/>
              </w:rPr>
              <w:t xml:space="preserve">STDEV.S</w:t>
            </w:r>
          </w:p>
        </w:tc>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val="false"/>
              <w:spacing w:after="40"/>
              <w:jc w:val="center"/>
            </w:pP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val="false"/>
              <w:spacing w:after="40"/>
              <w:jc w:val="center"/>
            </w:pPr>
            <w:r>
              <w:rPr>
                <w:b/>
                <w:bCs/>
                <w:sz w:val="20"/>
                <w:szCs w:val="20"/>
              </w:rPr>
              <w:t xml:space="preserve">2.17%</w:t>
            </w:r>
          </w:p>
        </w:tc>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val="false"/>
              <w:spacing w:after="40"/>
              <w:jc w:val="center"/>
            </w:pP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val="false"/>
              <w:spacing w:after="40"/>
              <w:jc w:val="center"/>
            </w:pPr>
            <w:r>
              <w:rPr>
                <w:b/>
                <w:bCs/>
                <w:sz w:val="20"/>
                <w:szCs w:val="20"/>
              </w:rPr>
              <w:t xml:space="preserve">4.12%</w:t>
            </w:r>
          </w:p>
        </w:tc>
      </w:tr>
    </w:tbl>
    <w:p>
      <w:pPr>
        <w:spacing w:after="60"/>
      </w:pPr>
    </w:p>
    <w:p>
      <w:pPr>
        <w:spacing w:after="120" w:before="0" w:line="276"/>
      </w:pPr>
      <w:r>
        <w:t xml:space="preserve">For this six-year window the ratio is 4.12 / 2.17 = </w:t>
      </w:r>
      <w:r>
        <w:rPr>
          <w:b/>
          <w:bCs/>
        </w:rPr>
        <w:t xml:space="preserve">1.90</w:t>
      </w:r>
      <w:r>
        <w:t xml:space="preserve">. Over India's full 1961 to 2013 series, though, cereals vary by 5.06%, fruit and vegetables by 4.14% and dairy and eggs by 4.91%, so the ratio falls to </w:t>
      </w:r>
      <w:r>
        <w:rPr>
          <w:b/>
          <w:bCs/>
        </w:rPr>
        <w:t xml:space="preserve">0.82</w:t>
      </w:r>
      <w:r>
        <w:t xml:space="preserve">. The answer depends on the window, which is why the test uses the full period and many countries.</w:t>
      </w:r>
    </w:p>
    <w:p>
      <w:pPr>
        <w:keepNext/>
        <w:spacing w:after="120" w:before="0" w:line="276"/>
      </w:pPr>
      <w:r>
        <w:rPr>
          <w:b/>
          <w:bCs/>
        </w:rPr>
        <w:t xml:space="preserve">Result across 142 countries: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900"/>
        <w:gridCol w:w="1700"/>
        <w:gridCol w:w="1638"/>
      </w:tblGrid>
      <w:tr>
        <w:trPr>
          <w:tblHeader/>
        </w:trPr>
        <w:tc>
          <w:tcPr>
            <w:tcW w:type="dxa" w:w="25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r>
              <w:rPr>
                <w:b/>
                <w:bCs/>
                <w:color w:val="FFFFFF"/>
                <w:sz w:val="20"/>
                <w:szCs w:val="20"/>
              </w:rPr>
              <w:t xml:space="preserve">Category</w:t>
            </w:r>
          </w:p>
        </w:tc>
        <w:tc>
          <w:tcPr>
            <w:tcW w:type="dxa" w:w="19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Median volatility (YoY SD)</w:t>
            </w:r>
          </w:p>
        </w:tc>
        <w:tc>
          <w:tcPr>
            <w:tcW w:type="dxa" w:w="19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Median ratio to cereals</w:t>
            </w:r>
          </w:p>
        </w:tc>
        <w:tc>
          <w:tcPr>
            <w:tcW w:type="dxa" w:w="17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Countries with ratio &gt; 1</w:t>
            </w:r>
          </w:p>
        </w:tc>
        <w:tc>
          <w:tcPr>
            <w:tcW w:type="dxa" w:w="16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Countries with ratio &gt;= 2</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Cereals and grains (staple)</w:t>
            </w:r>
          </w:p>
        </w:tc>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4.72%</w:t>
            </w:r>
          </w:p>
        </w:tc>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w:t>
            </w:r>
          </w:p>
        </w:tc>
        <w:tc>
          <w:tcPr>
            <w:tcW w:type="dxa" w:w="16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w:t>
            </w:r>
          </w:p>
        </w:tc>
      </w:tr>
      <w:tr>
        <w:trPr>
          <w:cantSplit/>
        </w:trPr>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pPr>
            <w:r>
              <w:rPr>
                <w:sz w:val="20"/>
                <w:szCs w:val="20"/>
              </w:rPr>
              <w:t xml:space="preserve">Fruit and vegetables</w:t>
            </w:r>
          </w:p>
        </w:tc>
        <w:tc>
          <w:tcPr>
            <w:tcW w:type="dxa" w:w="1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8.15%</w:t>
            </w:r>
          </w:p>
        </w:tc>
        <w:tc>
          <w:tcPr>
            <w:tcW w:type="dxa" w:w="1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1.85</w:t>
            </w:r>
          </w:p>
        </w:tc>
        <w:tc>
          <w:tcPr>
            <w:tcW w:type="dxa" w:w="1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82.4%</w:t>
            </w:r>
          </w:p>
        </w:tc>
        <w:tc>
          <w:tcPr>
            <w:tcW w:type="dxa" w:w="16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42.3%</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Dairy and eggs</w:t>
            </w:r>
          </w:p>
        </w:tc>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8.56%</w:t>
            </w:r>
          </w:p>
        </w:tc>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1.96</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85.2%</w:t>
            </w:r>
          </w:p>
        </w:tc>
        <w:tc>
          <w:tcPr>
            <w:tcW w:type="dxa" w:w="16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48.6%</w:t>
            </w:r>
          </w:p>
        </w:tc>
      </w:tr>
      <w:tr>
        <w:trPr>
          <w:cantSplit/>
        </w:trPr>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pPr>
            <w:r>
              <w:rPr>
                <w:sz w:val="20"/>
                <w:szCs w:val="20"/>
              </w:rPr>
              <w:t xml:space="preserve">Meat</w:t>
            </w:r>
          </w:p>
        </w:tc>
        <w:tc>
          <w:tcPr>
            <w:tcW w:type="dxa" w:w="1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20"/>
                <w:szCs w:val="20"/>
              </w:rPr>
              <w:t xml:space="preserve">7.10%</w:t>
            </w:r>
          </w:p>
        </w:tc>
        <w:tc>
          <w:tcPr>
            <w:tcW w:type="dxa" w:w="1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20"/>
                <w:szCs w:val="20"/>
              </w:rPr>
              <w:t xml:space="preserve">1.34</w:t>
            </w:r>
          </w:p>
        </w:tc>
        <w:tc>
          <w:tcPr>
            <w:tcW w:type="dxa" w:w="1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20"/>
                <w:szCs w:val="20"/>
              </w:rPr>
              <w:t xml:space="preserve">76.8%</w:t>
            </w:r>
          </w:p>
        </w:tc>
        <w:tc>
          <w:tcPr>
            <w:tcW w:type="dxa" w:w="16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20"/>
                <w:szCs w:val="20"/>
              </w:rPr>
              <w:t xml:space="preserve">31.0%</w:t>
            </w:r>
          </w:p>
        </w:tc>
      </w:tr>
    </w:tbl>
    <w:p>
      <w:pPr>
        <w:spacing w:after="60"/>
      </w:pPr>
    </w:p>
    <w:p>
      <w:pPr>
        <w:spacing w:after="120" w:before="0" w:line="276"/>
      </w:pPr>
      <w:r>
        <w:rPr>
          <w:b/>
          <w:bCs/>
        </w:rPr>
        <w:t xml:space="preserve">Why not the coefficient of variation?</w:t>
      </w:r>
      <w:r>
        <w:t xml:space="preserve"> CV is inflated by long-run growth. India's fruit and vegetable supply more than doubled (55 to 131 kcal), giving a CV of 26.9% even though its year-on-year volatility is only 4.1%. Across countries the median CV ratios (about 2.0 to 2.1) would have looked like an easy pass. The pilot therefore moved the primary metric to year-on-year volatility, and this change is logged as a method refinement.</w:t>
      </w:r>
    </w:p>
    <w:p>
      <w:pPr>
        <w:spacing w:after="120" w:before="0" w:line="276"/>
      </w:pPr>
      <w:r>
        <w:rPr>
          <w:b/>
          <w:bCs/>
        </w:rPr>
        <w:t xml:space="preserve">Verdict: PARTLY SUPPORTED.</w:t>
      </w:r>
      <w:r>
        <w:t xml:space="preserve"> The direction holds: perishables are more volatile than cereals in 77% to 85% of countries. The size falls short of the pre-set 2x rule (median ratios 1.3 to 2.0), and India is a counter-example over the full period. One caution: this is food supply per person, which trade and stocks smooth for cereals, not production. Phase 2 repeats the test on FAOSTAT production quantities.</w:t>
      </w:r>
    </w:p>
    <w:p>
      <w:pPr>
        <w:pStyle w:val="Heading2"/>
        <w:keepNext/>
      </w:pPr>
      <w:r>
        <w:t xml:space="preserve">7.2 H1: do capital-intensive segments produce more per worker? (illustrative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10"/>
        <w:gridCol w:w="644"/>
        <w:gridCol w:w="644"/>
        <w:gridCol w:w="644"/>
        <w:gridCol w:w="644"/>
        <w:gridCol w:w="644"/>
        <w:gridCol w:w="644"/>
        <w:gridCol w:w="644"/>
        <w:gridCol w:w="644"/>
        <w:gridCol w:w="644"/>
        <w:gridCol w:w="644"/>
        <w:gridCol w:w="644"/>
        <w:gridCol w:w="644"/>
      </w:tblGrid>
      <w:tr>
        <w:trPr>
          <w:tblHeader/>
        </w:trPr>
        <w:tc>
          <w:tcPr>
            <w:tcW w:type="dxa" w:w="191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r>
              <w:rPr>
                <w:b/>
                <w:bCs/>
                <w:color w:val="FFFFFF"/>
                <w:sz w:val="16"/>
                <w:szCs w:val="16"/>
              </w:rPr>
              <w:t xml:space="preserve">Observation</w:t>
            </w:r>
          </w:p>
        </w:tc>
        <w:tc>
          <w:tcPr>
            <w:tcW w:type="dxa" w:w="644"/>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6"/>
                <w:szCs w:val="16"/>
              </w:rPr>
              <w:t xml:space="preserve">1</w:t>
            </w:r>
          </w:p>
        </w:tc>
        <w:tc>
          <w:tcPr>
            <w:tcW w:type="dxa" w:w="644"/>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6"/>
                <w:szCs w:val="16"/>
              </w:rPr>
              <w:t xml:space="preserve">2</w:t>
            </w:r>
          </w:p>
        </w:tc>
        <w:tc>
          <w:tcPr>
            <w:tcW w:type="dxa" w:w="644"/>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6"/>
                <w:szCs w:val="16"/>
              </w:rPr>
              <w:t xml:space="preserve">3</w:t>
            </w:r>
          </w:p>
        </w:tc>
        <w:tc>
          <w:tcPr>
            <w:tcW w:type="dxa" w:w="644"/>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6"/>
                <w:szCs w:val="16"/>
              </w:rPr>
              <w:t xml:space="preserve">4</w:t>
            </w:r>
          </w:p>
        </w:tc>
        <w:tc>
          <w:tcPr>
            <w:tcW w:type="dxa" w:w="644"/>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6"/>
                <w:szCs w:val="16"/>
              </w:rPr>
              <w:t xml:space="preserve">5</w:t>
            </w:r>
          </w:p>
        </w:tc>
        <w:tc>
          <w:tcPr>
            <w:tcW w:type="dxa" w:w="644"/>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6"/>
                <w:szCs w:val="16"/>
              </w:rPr>
              <w:t xml:space="preserve">6</w:t>
            </w:r>
          </w:p>
        </w:tc>
        <w:tc>
          <w:tcPr>
            <w:tcW w:type="dxa" w:w="644"/>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6"/>
                <w:szCs w:val="16"/>
              </w:rPr>
              <w:t xml:space="preserve">7</w:t>
            </w:r>
          </w:p>
        </w:tc>
        <w:tc>
          <w:tcPr>
            <w:tcW w:type="dxa" w:w="644"/>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6"/>
                <w:szCs w:val="16"/>
              </w:rPr>
              <w:t xml:space="preserve">8</w:t>
            </w:r>
          </w:p>
        </w:tc>
        <w:tc>
          <w:tcPr>
            <w:tcW w:type="dxa" w:w="644"/>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6"/>
                <w:szCs w:val="16"/>
              </w:rPr>
              <w:t xml:space="preserve">9</w:t>
            </w:r>
          </w:p>
        </w:tc>
        <w:tc>
          <w:tcPr>
            <w:tcW w:type="dxa" w:w="644"/>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6"/>
                <w:szCs w:val="16"/>
              </w:rPr>
              <w:t xml:space="preserve">10</w:t>
            </w:r>
          </w:p>
        </w:tc>
        <w:tc>
          <w:tcPr>
            <w:tcW w:type="dxa" w:w="644"/>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6"/>
                <w:szCs w:val="16"/>
              </w:rPr>
              <w:t xml:space="preserve">11</w:t>
            </w:r>
          </w:p>
        </w:tc>
        <w:tc>
          <w:tcPr>
            <w:tcW w:type="dxa" w:w="644"/>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6"/>
                <w:szCs w:val="16"/>
              </w:rPr>
              <w:t xml:space="preserve">12</w:t>
            </w:r>
          </w:p>
        </w:tc>
      </w:tr>
      <w:tr>
        <w:trPr>
          <w:cantSplit/>
        </w:trPr>
        <w:tc>
          <w:tcPr>
            <w:tcW w:type="dxa" w:w="191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16"/>
                <w:szCs w:val="16"/>
              </w:rPr>
              <w:t xml:space="preserve">Capital per worker ($k)</w:t>
            </w:r>
          </w:p>
        </w:tc>
        <w:tc>
          <w:tcPr>
            <w:tcW w:type="dxa" w:w="644"/>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6"/>
                <w:szCs w:val="16"/>
              </w:rPr>
              <w:t xml:space="preserve">40</w:t>
            </w:r>
          </w:p>
        </w:tc>
        <w:tc>
          <w:tcPr>
            <w:tcW w:type="dxa" w:w="644"/>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6"/>
                <w:szCs w:val="16"/>
              </w:rPr>
              <w:t xml:space="preserve">55</w:t>
            </w:r>
          </w:p>
        </w:tc>
        <w:tc>
          <w:tcPr>
            <w:tcW w:type="dxa" w:w="644"/>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6"/>
                <w:szCs w:val="16"/>
              </w:rPr>
              <w:t xml:space="preserve">62</w:t>
            </w:r>
          </w:p>
        </w:tc>
        <w:tc>
          <w:tcPr>
            <w:tcW w:type="dxa" w:w="644"/>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6"/>
                <w:szCs w:val="16"/>
              </w:rPr>
              <w:t xml:space="preserve">75</w:t>
            </w:r>
          </w:p>
        </w:tc>
        <w:tc>
          <w:tcPr>
            <w:tcW w:type="dxa" w:w="644"/>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6"/>
                <w:szCs w:val="16"/>
              </w:rPr>
              <w:t xml:space="preserve">80</w:t>
            </w:r>
          </w:p>
        </w:tc>
        <w:tc>
          <w:tcPr>
            <w:tcW w:type="dxa" w:w="644"/>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6"/>
                <w:szCs w:val="16"/>
              </w:rPr>
              <w:t xml:space="preserve">95</w:t>
            </w:r>
          </w:p>
        </w:tc>
        <w:tc>
          <w:tcPr>
            <w:tcW w:type="dxa" w:w="644"/>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6"/>
                <w:szCs w:val="16"/>
              </w:rPr>
              <w:t xml:space="preserve">110</w:t>
            </w:r>
          </w:p>
        </w:tc>
        <w:tc>
          <w:tcPr>
            <w:tcW w:type="dxa" w:w="644"/>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6"/>
                <w:szCs w:val="16"/>
              </w:rPr>
              <w:t xml:space="preserve">120</w:t>
            </w:r>
          </w:p>
        </w:tc>
        <w:tc>
          <w:tcPr>
            <w:tcW w:type="dxa" w:w="644"/>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6"/>
                <w:szCs w:val="16"/>
              </w:rPr>
              <w:t xml:space="preserve">135</w:t>
            </w:r>
          </w:p>
        </w:tc>
        <w:tc>
          <w:tcPr>
            <w:tcW w:type="dxa" w:w="644"/>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6"/>
                <w:szCs w:val="16"/>
              </w:rPr>
              <w:t xml:space="preserve">150</w:t>
            </w:r>
          </w:p>
        </w:tc>
        <w:tc>
          <w:tcPr>
            <w:tcW w:type="dxa" w:w="644"/>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6"/>
                <w:szCs w:val="16"/>
              </w:rPr>
              <w:t xml:space="preserve">165</w:t>
            </w:r>
          </w:p>
        </w:tc>
        <w:tc>
          <w:tcPr>
            <w:tcW w:type="dxa" w:w="644"/>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6"/>
                <w:szCs w:val="16"/>
              </w:rPr>
              <w:t xml:space="preserve">180</w:t>
            </w:r>
          </w:p>
        </w:tc>
      </w:tr>
      <w:tr>
        <w:trPr>
          <w:cantSplit/>
        </w:trPr>
        <w:tc>
          <w:tcPr>
            <w:tcW w:type="dxa" w:w="191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pPr>
            <w:r>
              <w:rPr>
                <w:sz w:val="16"/>
                <w:szCs w:val="16"/>
              </w:rPr>
              <w:t xml:space="preserve">Output per worker ($k)</w:t>
            </w:r>
          </w:p>
        </w:tc>
        <w:tc>
          <w:tcPr>
            <w:tcW w:type="dxa" w:w="644"/>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6"/>
                <w:szCs w:val="16"/>
              </w:rPr>
              <w:t xml:space="preserve">95</w:t>
            </w:r>
          </w:p>
        </w:tc>
        <w:tc>
          <w:tcPr>
            <w:tcW w:type="dxa" w:w="644"/>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6"/>
                <w:szCs w:val="16"/>
              </w:rPr>
              <w:t xml:space="preserve">120</w:t>
            </w:r>
          </w:p>
        </w:tc>
        <w:tc>
          <w:tcPr>
            <w:tcW w:type="dxa" w:w="644"/>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6"/>
                <w:szCs w:val="16"/>
              </w:rPr>
              <w:t xml:space="preserve">105</w:t>
            </w:r>
          </w:p>
        </w:tc>
        <w:tc>
          <w:tcPr>
            <w:tcW w:type="dxa" w:w="644"/>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6"/>
                <w:szCs w:val="16"/>
              </w:rPr>
              <w:t xml:space="preserve">140</w:t>
            </w:r>
          </w:p>
        </w:tc>
        <w:tc>
          <w:tcPr>
            <w:tcW w:type="dxa" w:w="644"/>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6"/>
                <w:szCs w:val="16"/>
              </w:rPr>
              <w:t xml:space="preserve">150</w:t>
            </w:r>
          </w:p>
        </w:tc>
        <w:tc>
          <w:tcPr>
            <w:tcW w:type="dxa" w:w="644"/>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6"/>
                <w:szCs w:val="16"/>
              </w:rPr>
              <w:t xml:space="preserve">135</w:t>
            </w:r>
          </w:p>
        </w:tc>
        <w:tc>
          <w:tcPr>
            <w:tcW w:type="dxa" w:w="644"/>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6"/>
                <w:szCs w:val="16"/>
              </w:rPr>
              <w:t xml:space="preserve">170</w:t>
            </w:r>
          </w:p>
        </w:tc>
        <w:tc>
          <w:tcPr>
            <w:tcW w:type="dxa" w:w="644"/>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6"/>
                <w:szCs w:val="16"/>
              </w:rPr>
              <w:t xml:space="preserve">160</w:t>
            </w:r>
          </w:p>
        </w:tc>
        <w:tc>
          <w:tcPr>
            <w:tcW w:type="dxa" w:w="644"/>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6"/>
                <w:szCs w:val="16"/>
              </w:rPr>
              <w:t xml:space="preserve">210</w:t>
            </w:r>
          </w:p>
        </w:tc>
        <w:tc>
          <w:tcPr>
            <w:tcW w:type="dxa" w:w="644"/>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6"/>
                <w:szCs w:val="16"/>
              </w:rPr>
              <w:t xml:space="preserve">190</w:t>
            </w:r>
          </w:p>
        </w:tc>
        <w:tc>
          <w:tcPr>
            <w:tcW w:type="dxa" w:w="644"/>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6"/>
                <w:szCs w:val="16"/>
              </w:rPr>
              <w:t xml:space="preserve">235</w:t>
            </w:r>
          </w:p>
        </w:tc>
        <w:tc>
          <w:tcPr>
            <w:tcW w:type="dxa" w:w="644"/>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6"/>
                <w:szCs w:val="16"/>
              </w:rPr>
              <w:t xml:space="preserve">225</w:t>
            </w:r>
          </w:p>
        </w:tc>
      </w:tr>
    </w:tbl>
    <w:p>
      <w:pPr>
        <w:spacing w:after="80"/>
      </w:pPr>
    </w:p>
    <w:p>
      <w:pPr>
        <w:pStyle w:val="ListParagraph"/>
        <w:numPr>
          <w:ilvl w:val="0"/>
          <w:numId w:val="5"/>
        </w:numPr>
        <w:spacing w:after="80" w:line="276"/>
      </w:pPr>
      <w:r>
        <w:rPr>
          <w:b/>
          <w:bCs/>
        </w:rPr>
        <w:t xml:space="preserve">Set up:</w:t>
      </w:r>
      <w:r>
        <w:t xml:space="preserve"> capital per worker in column B, output per worker in column C, one row per segment-year (12 here).</w:t>
      </w:r>
    </w:p>
    <w:p>
      <w:pPr>
        <w:pStyle w:val="ListParagraph"/>
        <w:numPr>
          <w:ilvl w:val="0"/>
          <w:numId w:val="5"/>
        </w:numPr>
        <w:spacing w:after="80" w:line="276"/>
      </w:pPr>
      <w:r>
        <w:rPr>
          <w:b/>
          <w:bCs/>
        </w:rPr>
        <w:t xml:space="preserve">Look first:</w:t>
      </w:r>
      <w:r>
        <w:t xml:space="preserve"> Insert a scatter chart, then add a trendline showing the equation and R-squared.</w:t>
      </w:r>
    </w:p>
    <w:p>
      <w:pPr>
        <w:pStyle w:val="ListParagraph"/>
        <w:numPr>
          <w:ilvl w:val="0"/>
          <w:numId w:val="5"/>
        </w:numPr>
        <w:spacing w:after="80" w:line="276"/>
      </w:pPr>
      <w:r>
        <w:rPr>
          <w:b/>
          <w:bCs/>
        </w:rPr>
        <w:t xml:space="preserve">Correlation:</w:t>
      </w:r>
      <w:r>
        <w:t xml:space="preserve"> =CORREL(B2:B13,C2:C13) gives </w:t>
      </w:r>
      <w:r>
        <w:rPr>
          <w:b/>
          <w:bCs/>
        </w:rPr>
        <w:t xml:space="preserve">r = 0.957</w:t>
      </w:r>
      <w:r>
        <w:t xml:space="preserve">.</w:t>
      </w:r>
    </w:p>
    <w:p>
      <w:pPr>
        <w:pStyle w:val="ListParagraph"/>
        <w:numPr>
          <w:ilvl w:val="0"/>
          <w:numId w:val="5"/>
        </w:numPr>
        <w:spacing w:after="80" w:line="276"/>
      </w:pPr>
      <w:r>
        <w:rPr>
          <w:b/>
          <w:bCs/>
        </w:rPr>
        <w:t xml:space="preserve">Line of best fit:</w:t>
      </w:r>
      <w:r>
        <w:t xml:space="preserve"> =SLOPE(C2:C13,B2:B13) = </w:t>
      </w:r>
      <w:r>
        <w:rPr>
          <w:b/>
          <w:bCs/>
        </w:rPr>
        <w:t xml:space="preserve">0.972</w:t>
      </w:r>
      <w:r>
        <w:t xml:space="preserve">, =INTERCEPT(...) = </w:t>
      </w:r>
      <w:r>
        <w:rPr>
          <w:b/>
          <w:bCs/>
        </w:rPr>
        <w:t xml:space="preserve">58.65</w:t>
      </w:r>
      <w:r>
        <w:t xml:space="preserve">, =RSQ(...) = </w:t>
      </w:r>
      <w:r>
        <w:rPr>
          <w:b/>
          <w:bCs/>
        </w:rPr>
        <w:t xml:space="preserve">0.915</w:t>
      </w:r>
      <w:r>
        <w:t xml:space="preserve">. Reading: each extra $1,000 of capital per worker goes with about $972 more output per worker, and capital explains 91.5% of the variation.</w:t>
      </w:r>
    </w:p>
    <w:p>
      <w:pPr>
        <w:pStyle w:val="ListParagraph"/>
        <w:numPr>
          <w:ilvl w:val="0"/>
          <w:numId w:val="5"/>
        </w:numPr>
        <w:spacing w:after="80" w:line="276"/>
      </w:pPr>
      <w:r>
        <w:rPr>
          <w:b/>
          <w:bCs/>
        </w:rPr>
        <w:t xml:space="preserve">Significance:</w:t>
      </w:r>
      <w:r>
        <w:t xml:space="preserve"> t = r * SQRT(n-2) / SQRT(1-r^2) = 0.957 * SQRT(10) / SQRT(1-0.915) = </w:t>
      </w:r>
      <w:r>
        <w:rPr>
          <w:b/>
          <w:bCs/>
        </w:rPr>
        <w:t xml:space="preserve">10.41</w:t>
      </w:r>
      <w:r>
        <w:t xml:space="preserve">. Then =T.DIST.2T(10.41,10) gives </w:t>
      </w:r>
      <w:r>
        <w:rPr>
          <w:b/>
          <w:bCs/>
        </w:rPr>
        <w:t xml:space="preserve">p = 0.000001</w:t>
      </w:r>
      <w:r>
        <w:t xml:space="preserve">. With n = 12, |r| only needs to exceed 0.576 to be significant at 5%.</w:t>
      </w:r>
    </w:p>
    <w:p>
      <w:pPr>
        <w:pStyle w:val="ListParagraph"/>
        <w:numPr>
          <w:ilvl w:val="0"/>
          <w:numId w:val="5"/>
        </w:numPr>
        <w:spacing w:after="80" w:line="276"/>
      </w:pPr>
      <w:r>
        <w:rPr>
          <w:b/>
          <w:bCs/>
        </w:rPr>
        <w:t xml:space="preserve">Decision rule:</w:t>
      </w:r>
      <w:r>
        <w:t xml:space="preserve"> r &gt;= 0.5 and p &lt; 0.05. Both are met.</w:t>
      </w:r>
    </w:p>
    <w:p>
      <w:pPr>
        <w:spacing w:after="120" w:before="80" w:line="276"/>
      </w:pPr>
      <w:r>
        <w:rPr>
          <w:b/>
          <w:bCs/>
        </w:rPr>
        <w:t xml:space="preserve">Verdict: SUPPORTED</w:t>
      </w:r>
      <w:r>
        <w:t xml:space="preserve"> (on illustrative data). The real test also needs a check that large segments do not drive the whole pattern, and a reminder that correlation is not causation.</w:t>
      </w:r>
    </w:p>
    <w:p>
      <w:pPr>
        <w:pStyle w:val="Heading2"/>
        <w:keepNext/>
      </w:pPr>
      <w:r>
        <w:t xml:space="preserve">7.3 H2: do raw-material price spikes squeeze margins with a lag? (illustrative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8"/>
        <w:gridCol w:w="520"/>
        <w:gridCol w:w="520"/>
        <w:gridCol w:w="520"/>
        <w:gridCol w:w="520"/>
        <w:gridCol w:w="520"/>
        <w:gridCol w:w="520"/>
        <w:gridCol w:w="520"/>
        <w:gridCol w:w="520"/>
        <w:gridCol w:w="520"/>
        <w:gridCol w:w="520"/>
        <w:gridCol w:w="520"/>
        <w:gridCol w:w="520"/>
        <w:gridCol w:w="520"/>
        <w:gridCol w:w="520"/>
        <w:gridCol w:w="520"/>
      </w:tblGrid>
      <w:tr>
        <w:trPr>
          <w:tblHeader/>
        </w:trPr>
        <w:tc>
          <w:tcPr>
            <w:tcW w:type="dxa" w:w="18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r>
              <w:rPr>
                <w:b/>
                <w:bCs/>
                <w:color w:val="FFFFFF"/>
                <w:sz w:val="15"/>
                <w:szCs w:val="15"/>
              </w:rPr>
              <w:t xml:space="preserve">Year (20xx)</w:t>
            </w:r>
          </w:p>
        </w:tc>
        <w:tc>
          <w:tcPr>
            <w:tcW w:type="dxa" w:w="52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5"/>
                <w:szCs w:val="15"/>
              </w:rPr>
              <w:t xml:space="preserve">10</w:t>
            </w:r>
          </w:p>
        </w:tc>
        <w:tc>
          <w:tcPr>
            <w:tcW w:type="dxa" w:w="52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5"/>
                <w:szCs w:val="15"/>
              </w:rPr>
              <w:t xml:space="preserve">11</w:t>
            </w:r>
          </w:p>
        </w:tc>
        <w:tc>
          <w:tcPr>
            <w:tcW w:type="dxa" w:w="52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5"/>
                <w:szCs w:val="15"/>
              </w:rPr>
              <w:t xml:space="preserve">12</w:t>
            </w:r>
          </w:p>
        </w:tc>
        <w:tc>
          <w:tcPr>
            <w:tcW w:type="dxa" w:w="52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5"/>
                <w:szCs w:val="15"/>
              </w:rPr>
              <w:t xml:space="preserve">13</w:t>
            </w:r>
          </w:p>
        </w:tc>
        <w:tc>
          <w:tcPr>
            <w:tcW w:type="dxa" w:w="52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5"/>
                <w:szCs w:val="15"/>
              </w:rPr>
              <w:t xml:space="preserve">14</w:t>
            </w:r>
          </w:p>
        </w:tc>
        <w:tc>
          <w:tcPr>
            <w:tcW w:type="dxa" w:w="52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5"/>
                <w:szCs w:val="15"/>
              </w:rPr>
              <w:t xml:space="preserve">15</w:t>
            </w:r>
          </w:p>
        </w:tc>
        <w:tc>
          <w:tcPr>
            <w:tcW w:type="dxa" w:w="52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5"/>
                <w:szCs w:val="15"/>
              </w:rPr>
              <w:t xml:space="preserve">16</w:t>
            </w:r>
          </w:p>
        </w:tc>
        <w:tc>
          <w:tcPr>
            <w:tcW w:type="dxa" w:w="52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5"/>
                <w:szCs w:val="15"/>
              </w:rPr>
              <w:t xml:space="preserve">17</w:t>
            </w:r>
          </w:p>
        </w:tc>
        <w:tc>
          <w:tcPr>
            <w:tcW w:type="dxa" w:w="52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5"/>
                <w:szCs w:val="15"/>
              </w:rPr>
              <w:t xml:space="preserve">18</w:t>
            </w:r>
          </w:p>
        </w:tc>
        <w:tc>
          <w:tcPr>
            <w:tcW w:type="dxa" w:w="52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5"/>
                <w:szCs w:val="15"/>
              </w:rPr>
              <w:t xml:space="preserve">19</w:t>
            </w:r>
          </w:p>
        </w:tc>
        <w:tc>
          <w:tcPr>
            <w:tcW w:type="dxa" w:w="52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5"/>
                <w:szCs w:val="15"/>
              </w:rPr>
              <w:t xml:space="preserve">20</w:t>
            </w:r>
          </w:p>
        </w:tc>
        <w:tc>
          <w:tcPr>
            <w:tcW w:type="dxa" w:w="52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5"/>
                <w:szCs w:val="15"/>
              </w:rPr>
              <w:t xml:space="preserve">21</w:t>
            </w:r>
          </w:p>
        </w:tc>
        <w:tc>
          <w:tcPr>
            <w:tcW w:type="dxa" w:w="52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5"/>
                <w:szCs w:val="15"/>
              </w:rPr>
              <w:t xml:space="preserve">22</w:t>
            </w:r>
          </w:p>
        </w:tc>
        <w:tc>
          <w:tcPr>
            <w:tcW w:type="dxa" w:w="52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5"/>
                <w:szCs w:val="15"/>
              </w:rPr>
              <w:t xml:space="preserve">23</w:t>
            </w:r>
          </w:p>
        </w:tc>
        <w:tc>
          <w:tcPr>
            <w:tcW w:type="dxa" w:w="52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5"/>
                <w:szCs w:val="15"/>
              </w:rPr>
              <w:t xml:space="preserve">24</w:t>
            </w:r>
          </w:p>
        </w:tc>
      </w:tr>
      <w:tr>
        <w:trPr>
          <w:cantSplit/>
        </w:trPr>
        <w:tc>
          <w:tcPr>
            <w:tcW w:type="dxa" w:w="18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15"/>
                <w:szCs w:val="15"/>
              </w:rPr>
              <w:t xml:space="preserve">Price change (%)</w:t>
            </w:r>
          </w:p>
        </w:tc>
        <w:tc>
          <w:tcPr>
            <w:tcW w:type="dxa" w:w="52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5"/>
                <w:szCs w:val="15"/>
              </w:rPr>
              <w:t xml:space="preserve">4</w:t>
            </w:r>
          </w:p>
        </w:tc>
        <w:tc>
          <w:tcPr>
            <w:tcW w:type="dxa" w:w="52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5"/>
                <w:szCs w:val="15"/>
              </w:rPr>
              <w:t xml:space="preserve">-2</w:t>
            </w:r>
          </w:p>
        </w:tc>
        <w:tc>
          <w:tcPr>
            <w:tcW w:type="dxa" w:w="52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5"/>
                <w:szCs w:val="15"/>
              </w:rPr>
              <w:t xml:space="preserve">12</w:t>
            </w:r>
          </w:p>
        </w:tc>
        <w:tc>
          <w:tcPr>
            <w:tcW w:type="dxa" w:w="52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5"/>
                <w:szCs w:val="15"/>
              </w:rPr>
              <w:t xml:space="preserve">8</w:t>
            </w:r>
          </w:p>
        </w:tc>
        <w:tc>
          <w:tcPr>
            <w:tcW w:type="dxa" w:w="52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5"/>
                <w:szCs w:val="15"/>
              </w:rPr>
              <w:t xml:space="preserve">-5</w:t>
            </w:r>
          </w:p>
        </w:tc>
        <w:tc>
          <w:tcPr>
            <w:tcW w:type="dxa" w:w="52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5"/>
                <w:szCs w:val="15"/>
              </w:rPr>
              <w:t xml:space="preserve">3</w:t>
            </w:r>
          </w:p>
        </w:tc>
        <w:tc>
          <w:tcPr>
            <w:tcW w:type="dxa" w:w="52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5"/>
                <w:szCs w:val="15"/>
              </w:rPr>
              <w:t xml:space="preserve">15</w:t>
            </w:r>
          </w:p>
        </w:tc>
        <w:tc>
          <w:tcPr>
            <w:tcW w:type="dxa" w:w="52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5"/>
                <w:szCs w:val="15"/>
              </w:rPr>
              <w:t xml:space="preserve">-8</w:t>
            </w:r>
          </w:p>
        </w:tc>
        <w:tc>
          <w:tcPr>
            <w:tcW w:type="dxa" w:w="52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5"/>
                <w:szCs w:val="15"/>
              </w:rPr>
              <w:t xml:space="preserve">2</w:t>
            </w:r>
          </w:p>
        </w:tc>
        <w:tc>
          <w:tcPr>
            <w:tcW w:type="dxa" w:w="52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5"/>
                <w:szCs w:val="15"/>
              </w:rPr>
              <w:t xml:space="preserve">6</w:t>
            </w:r>
          </w:p>
        </w:tc>
        <w:tc>
          <w:tcPr>
            <w:tcW w:type="dxa" w:w="52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5"/>
                <w:szCs w:val="15"/>
              </w:rPr>
              <w:t xml:space="preserve">-3</w:t>
            </w:r>
          </w:p>
        </w:tc>
        <w:tc>
          <w:tcPr>
            <w:tcW w:type="dxa" w:w="52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5"/>
                <w:szCs w:val="15"/>
              </w:rPr>
              <w:t xml:space="preserve">10</w:t>
            </w:r>
          </w:p>
        </w:tc>
        <w:tc>
          <w:tcPr>
            <w:tcW w:type="dxa" w:w="52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5"/>
                <w:szCs w:val="15"/>
              </w:rPr>
              <w:t xml:space="preserve">5</w:t>
            </w:r>
          </w:p>
        </w:tc>
        <w:tc>
          <w:tcPr>
            <w:tcW w:type="dxa" w:w="52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5"/>
                <w:szCs w:val="15"/>
              </w:rPr>
              <w:t xml:space="preserve">-6</w:t>
            </w:r>
          </w:p>
        </w:tc>
        <w:tc>
          <w:tcPr>
            <w:tcW w:type="dxa" w:w="52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5"/>
                <w:szCs w:val="15"/>
              </w:rPr>
              <w:t xml:space="preserve">9</w:t>
            </w:r>
          </w:p>
        </w:tc>
      </w:tr>
      <w:tr>
        <w:trPr>
          <w:cantSplit/>
        </w:trPr>
        <w:tc>
          <w:tcPr>
            <w:tcW w:type="dxa" w:w="18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pPr>
            <w:r>
              <w:rPr>
                <w:sz w:val="15"/>
                <w:szCs w:val="15"/>
              </w:rPr>
              <w:t xml:space="preserve">Margin change (pp)</w:t>
            </w:r>
          </w:p>
        </w:tc>
        <w:tc>
          <w:tcPr>
            <w:tcW w:type="dxa" w:w="52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5"/>
                <w:szCs w:val="15"/>
              </w:rPr>
              <w:t xml:space="preserve">0.4</w:t>
            </w:r>
          </w:p>
        </w:tc>
        <w:tc>
          <w:tcPr>
            <w:tcW w:type="dxa" w:w="52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5"/>
                <w:szCs w:val="15"/>
              </w:rPr>
              <w:t xml:space="preserve">0.0</w:t>
            </w:r>
          </w:p>
        </w:tc>
        <w:tc>
          <w:tcPr>
            <w:tcW w:type="dxa" w:w="52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5"/>
                <w:szCs w:val="15"/>
              </w:rPr>
              <w:t xml:space="preserve">-0.9</w:t>
            </w:r>
          </w:p>
        </w:tc>
        <w:tc>
          <w:tcPr>
            <w:tcW w:type="dxa" w:w="52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5"/>
                <w:szCs w:val="15"/>
              </w:rPr>
              <w:t xml:space="preserve">-2.8</w:t>
            </w:r>
          </w:p>
        </w:tc>
        <w:tc>
          <w:tcPr>
            <w:tcW w:type="dxa" w:w="52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5"/>
                <w:szCs w:val="15"/>
              </w:rPr>
              <w:t xml:space="preserve">-4.2</w:t>
            </w:r>
          </w:p>
        </w:tc>
        <w:tc>
          <w:tcPr>
            <w:tcW w:type="dxa" w:w="52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5"/>
                <w:szCs w:val="15"/>
              </w:rPr>
              <w:t xml:space="preserve">2.9</w:t>
            </w:r>
          </w:p>
        </w:tc>
        <w:tc>
          <w:tcPr>
            <w:tcW w:type="dxa" w:w="52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5"/>
                <w:szCs w:val="15"/>
              </w:rPr>
              <w:t xml:space="preserve">-1.8</w:t>
            </w:r>
          </w:p>
        </w:tc>
        <w:tc>
          <w:tcPr>
            <w:tcW w:type="dxa" w:w="52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5"/>
                <w:szCs w:val="15"/>
              </w:rPr>
              <w:t xml:space="preserve">-2.9</w:t>
            </w:r>
          </w:p>
        </w:tc>
        <w:tc>
          <w:tcPr>
            <w:tcW w:type="dxa" w:w="52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5"/>
                <w:szCs w:val="15"/>
              </w:rPr>
              <w:t xml:space="preserve">3.1</w:t>
            </w:r>
          </w:p>
        </w:tc>
        <w:tc>
          <w:tcPr>
            <w:tcW w:type="dxa" w:w="52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5"/>
                <w:szCs w:val="15"/>
              </w:rPr>
              <w:t xml:space="preserve">-2.0</w:t>
            </w:r>
          </w:p>
        </w:tc>
        <w:tc>
          <w:tcPr>
            <w:tcW w:type="dxa" w:w="52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5"/>
                <w:szCs w:val="15"/>
              </w:rPr>
              <w:t xml:space="preserve">-0.7</w:t>
            </w:r>
          </w:p>
        </w:tc>
        <w:tc>
          <w:tcPr>
            <w:tcW w:type="dxa" w:w="52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5"/>
                <w:szCs w:val="15"/>
              </w:rPr>
              <w:t xml:space="preserve">-0.8</w:t>
            </w:r>
          </w:p>
        </w:tc>
        <w:tc>
          <w:tcPr>
            <w:tcW w:type="dxa" w:w="52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5"/>
                <w:szCs w:val="15"/>
              </w:rPr>
              <w:t xml:space="preserve">-2.1</w:t>
            </w:r>
          </w:p>
        </w:tc>
        <w:tc>
          <w:tcPr>
            <w:tcW w:type="dxa" w:w="52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5"/>
                <w:szCs w:val="15"/>
              </w:rPr>
              <w:t xml:space="preserve">0.0</w:t>
            </w:r>
          </w:p>
        </w:tc>
        <w:tc>
          <w:tcPr>
            <w:tcW w:type="dxa" w:w="52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15"/>
                <w:szCs w:val="15"/>
              </w:rPr>
              <w:t xml:space="preserve">0.8</w:t>
            </w:r>
          </w:p>
        </w:tc>
      </w:tr>
    </w:tbl>
    <w:p>
      <w:pPr>
        <w:spacing w:after="80"/>
      </w:pPr>
    </w:p>
    <w:p>
      <w:pPr>
        <w:pStyle w:val="ListParagraph"/>
        <w:numPr>
          <w:ilvl w:val="0"/>
          <w:numId w:val="6"/>
        </w:numPr>
        <w:spacing w:after="80" w:line="276"/>
      </w:pPr>
      <w:r>
        <w:rPr>
          <w:b/>
          <w:bCs/>
        </w:rPr>
        <w:t xml:space="preserve">Set up:</w:t>
      </w:r>
      <w:r>
        <w:t xml:space="preserve"> price change in B2:B16, margin change in C2:C16, one row per year (2010 to 2024).</w:t>
      </w:r>
    </w:p>
    <w:p>
      <w:pPr>
        <w:pStyle w:val="ListParagraph"/>
        <w:numPr>
          <w:ilvl w:val="0"/>
          <w:numId w:val="6"/>
        </w:numPr>
        <w:spacing w:after="80" w:line="276"/>
      </w:pPr>
      <w:r>
        <w:rPr>
          <w:b/>
          <w:bCs/>
        </w:rPr>
        <w:t xml:space="preserve">Same-year link (lag 0):</w:t>
      </w:r>
      <w:r>
        <w:t xml:space="preserve"> =CORREL(B2:B16,C2:C16) = </w:t>
      </w:r>
      <w:r>
        <w:rPr>
          <w:b/>
          <w:bCs/>
        </w:rPr>
        <w:t xml:space="preserve">0.081</w:t>
      </w:r>
      <w:r>
        <w:t xml:space="preserve">, essentially none.</w:t>
      </w:r>
    </w:p>
    <w:p>
      <w:pPr>
        <w:pStyle w:val="ListParagraph"/>
        <w:numPr>
          <w:ilvl w:val="0"/>
          <w:numId w:val="6"/>
        </w:numPr>
        <w:spacing w:after="80" w:line="276"/>
      </w:pPr>
      <w:r>
        <w:rPr>
          <w:b/>
          <w:bCs/>
        </w:rPr>
        <w:t xml:space="preserve">Margin one year later (lag 1):</w:t>
      </w:r>
      <w:r>
        <w:t xml:space="preserve"> =CORREL(B2:B15,C3:C16) = </w:t>
      </w:r>
      <w:r>
        <w:rPr>
          <w:b/>
          <w:bCs/>
        </w:rPr>
        <w:t xml:space="preserve">-0.795</w:t>
      </w:r>
      <w:r>
        <w:t xml:space="preserve"> on 14 pairs. Shifting the ranges by one row is the whole trick.</w:t>
      </w:r>
    </w:p>
    <w:p>
      <w:pPr>
        <w:pStyle w:val="ListParagraph"/>
        <w:numPr>
          <w:ilvl w:val="0"/>
          <w:numId w:val="6"/>
        </w:numPr>
        <w:spacing w:after="80" w:line="276"/>
      </w:pPr>
      <w:r>
        <w:rPr>
          <w:b/>
          <w:bCs/>
        </w:rPr>
        <w:t xml:space="preserve">Two years later (lag 2):</w:t>
      </w:r>
      <w:r>
        <w:t xml:space="preserve"> =CORREL(B2:B14,C4:C16) = </w:t>
      </w:r>
      <w:r>
        <w:rPr>
          <w:b/>
          <w:bCs/>
        </w:rPr>
        <w:t xml:space="preserve">0.470</w:t>
      </w:r>
      <w:r>
        <w:t xml:space="preserve"> on 13 pairs.</w:t>
      </w:r>
    </w:p>
    <w:p>
      <w:pPr>
        <w:pStyle w:val="ListParagraph"/>
        <w:numPr>
          <w:ilvl w:val="0"/>
          <w:numId w:val="6"/>
        </w:numPr>
        <w:spacing w:after="80" w:line="276"/>
      </w:pPr>
      <w:r>
        <w:rPr>
          <w:b/>
          <w:bCs/>
        </w:rPr>
        <w:t xml:space="preserve">Critical values:</w:t>
      </w:r>
      <w:r>
        <w:t xml:space="preserve"> lagging loses pairs, so the bar rises a little: |r| must exceed </w:t>
      </w:r>
      <w:r>
        <w:rPr>
          <w:b/>
          <w:bCs/>
        </w:rPr>
        <w:t xml:space="preserve">0.532</w:t>
      </w:r>
      <w:r>
        <w:t xml:space="preserve"> for 14 pairs and </w:t>
      </w:r>
      <w:r>
        <w:rPr>
          <w:b/>
          <w:bCs/>
        </w:rPr>
        <w:t xml:space="preserve">0.553</w:t>
      </w:r>
      <w:r>
        <w:t xml:space="preserve"> for 13. Only lag 1 clears it (p = 0.0007).</w:t>
      </w:r>
    </w:p>
    <w:p>
      <w:pPr>
        <w:pStyle w:val="ListParagraph"/>
        <w:numPr>
          <w:ilvl w:val="0"/>
          <w:numId w:val="6"/>
        </w:numPr>
        <w:spacing w:after="80" w:line="276"/>
      </w:pPr>
      <w:r>
        <w:rPr>
          <w:b/>
          <w:bCs/>
        </w:rPr>
        <w:t xml:space="preserve">Size of the effect:</w:t>
      </w:r>
      <w:r>
        <w:t xml:space="preserve"> =SLOPE(C3:C16,B2:B15) = </w:t>
      </w:r>
      <w:r>
        <w:rPr>
          <w:b/>
          <w:bCs/>
        </w:rPr>
        <w:t xml:space="preserve">-0.24</w:t>
      </w:r>
      <w:r>
        <w:t xml:space="preserve">. A 10% rise in raw-material price goes with a margin about 2.4 points lower the next year.</w:t>
      </w:r>
    </w:p>
    <w:p>
      <w:pPr>
        <w:pStyle w:val="ListParagraph"/>
        <w:numPr>
          <w:ilvl w:val="0"/>
          <w:numId w:val="6"/>
        </w:numPr>
        <w:spacing w:after="80" w:line="276"/>
      </w:pPr>
      <w:r>
        <w:rPr>
          <w:b/>
          <w:bCs/>
        </w:rPr>
        <w:t xml:space="preserve">Make it visible:</w:t>
      </w:r>
      <w:r>
        <w:t xml:space="preserve"> a conditional formatting rule =AND(B2&gt;10,C3&lt;-2) shades the years where price jumped by more than 10% and the next year's margin fell by more than 2 points. It flags 2012 and 2016.</w:t>
      </w:r>
    </w:p>
    <w:p>
      <w:pPr>
        <w:spacing w:after="120" w:before="80" w:line="276"/>
      </w:pPr>
      <w:r>
        <w:rPr>
          <w:b/>
          <w:bCs/>
        </w:rPr>
        <w:t xml:space="preserve">Verdict: SUPPORTED at a one-year lag</w:t>
      </w:r>
      <w:r>
        <w:t xml:space="preserve"> (r = -0.795, needed -0.5 or stronger). Lag 0 and lag 2 do not pass, which fits the hypothesis of a delayed effect.</w:t>
      </w:r>
    </w:p>
    <w:p>
      <w:pPr>
        <w:pStyle w:val="Heading2"/>
        <w:keepNext/>
      </w:pPr>
      <w:r>
        <w:t xml:space="preserve">7.4 H3: do energy-hungry segments score lower on efficiency? (illustrative data)</w:t>
      </w:r>
    </w:p>
    <w:p>
      <w:pPr>
        <w:keepNext/>
        <w:spacing w:after="120" w:before="0" w:line="276"/>
      </w:pPr>
      <w:r>
        <w:t xml:space="preserve">Energy is already inside the PEI, so correlating energy with the full index would be circular. The test uses the index recalculated </w:t>
      </w:r>
      <w:r>
        <w:rPr>
          <w:b/>
          <w:bCs/>
        </w:rPr>
        <w:t xml:space="preserve">without</w:t>
      </w:r>
      <w:r>
        <w:t xml:space="preserve"> energy, with the labour and yield weights scaled to sum to 1: PEI ex-energy = (0.4 x norm output + 0.3 x norm yield) / 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538"/>
        <w:gridCol w:w="2000"/>
      </w:tblGrid>
      <w:tr>
        <w:trPr>
          <w:tblHeader/>
        </w:trPr>
        <w:tc>
          <w:tcPr>
            <w:tcW w:type="dxa" w:w="29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r>
              <w:rPr>
                <w:b/>
                <w:bCs/>
                <w:color w:val="FFFFFF"/>
                <w:sz w:val="20"/>
                <w:szCs w:val="20"/>
              </w:rPr>
              <w:t xml:space="preserve">Segment</w:t>
            </w:r>
          </w:p>
        </w:tc>
        <w:tc>
          <w:tcPr>
            <w:tcW w:type="dxa" w:w="22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Energy (kWh/t)</w:t>
            </w:r>
          </w:p>
        </w:tc>
        <w:tc>
          <w:tcPr>
            <w:tcW w:type="dxa" w:w="25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PEI without energy</w:t>
            </w:r>
          </w:p>
        </w:tc>
        <w:tc>
          <w:tcPr>
            <w:tcW w:type="dxa" w:w="20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Rank</w:t>
            </w:r>
          </w:p>
        </w:tc>
      </w:tr>
      <w:tr>
        <w:trPr>
          <w:cantSplit/>
        </w:trPr>
        <w:tc>
          <w:tcPr>
            <w:tcW w:type="dxa" w:w="2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Edible oils</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140</w:t>
            </w:r>
          </w:p>
        </w:tc>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0.888</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1</w:t>
            </w:r>
          </w:p>
        </w:tc>
      </w:tr>
      <w:tr>
        <w:trPr>
          <w:cantSplit/>
        </w:trPr>
        <w:tc>
          <w:tcPr>
            <w:tcW w:type="dxa" w:w="2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pPr>
            <w:r>
              <w:rPr>
                <w:sz w:val="20"/>
                <w:szCs w:val="20"/>
              </w:rPr>
              <w:t xml:space="preserve">Dairy</w:t>
            </w:r>
          </w:p>
        </w:tc>
        <w:tc>
          <w:tcPr>
            <w:tcW w:type="dxa" w:w="2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210</w:t>
            </w:r>
          </w:p>
        </w:tc>
        <w:tc>
          <w:tcPr>
            <w:tcW w:type="dxa" w:w="25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0.590</w:t>
            </w:r>
          </w:p>
        </w:tc>
        <w:tc>
          <w:tcPr>
            <w:tcW w:type="dxa" w:w="2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2</w:t>
            </w:r>
          </w:p>
        </w:tc>
      </w:tr>
      <w:tr>
        <w:trPr>
          <w:cantSplit/>
        </w:trPr>
        <w:tc>
          <w:tcPr>
            <w:tcW w:type="dxa" w:w="2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Cereal milling</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85</w:t>
            </w:r>
          </w:p>
        </w:tc>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0.491</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3</w:t>
            </w:r>
          </w:p>
        </w:tc>
      </w:tr>
      <w:tr>
        <w:trPr>
          <w:cantSplit/>
        </w:trPr>
        <w:tc>
          <w:tcPr>
            <w:tcW w:type="dxa" w:w="2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pPr>
            <w:r>
              <w:rPr>
                <w:sz w:val="20"/>
                <w:szCs w:val="20"/>
              </w:rPr>
              <w:t xml:space="preserve">NutriLine Foods</w:t>
            </w:r>
          </w:p>
        </w:tc>
        <w:tc>
          <w:tcPr>
            <w:tcW w:type="dxa" w:w="2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230</w:t>
            </w:r>
          </w:p>
        </w:tc>
        <w:tc>
          <w:tcPr>
            <w:tcW w:type="dxa" w:w="25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0.304</w:t>
            </w:r>
          </w:p>
        </w:tc>
        <w:tc>
          <w:tcPr>
            <w:tcW w:type="dxa" w:w="2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4</w:t>
            </w:r>
          </w:p>
        </w:tc>
      </w:tr>
      <w:tr>
        <w:trPr>
          <w:cantSplit/>
        </w:trPr>
        <w:tc>
          <w:tcPr>
            <w:tcW w:type="dxa" w:w="2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Fruit and veg</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260</w:t>
            </w:r>
          </w:p>
        </w:tc>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0.205</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5</w:t>
            </w:r>
          </w:p>
        </w:tc>
      </w:tr>
      <w:tr>
        <w:trPr>
          <w:cantSplit/>
        </w:trPr>
        <w:tc>
          <w:tcPr>
            <w:tcW w:type="dxa" w:w="2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pPr>
            <w:r>
              <w:rPr>
                <w:sz w:val="20"/>
                <w:szCs w:val="20"/>
              </w:rPr>
              <w:t xml:space="preserve">Meat</w:t>
            </w:r>
          </w:p>
        </w:tc>
        <w:tc>
          <w:tcPr>
            <w:tcW w:type="dxa" w:w="2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20"/>
                <w:szCs w:val="20"/>
              </w:rPr>
              <w:t xml:space="preserve">190</w:t>
            </w:r>
          </w:p>
        </w:tc>
        <w:tc>
          <w:tcPr>
            <w:tcW w:type="dxa" w:w="25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20"/>
                <w:szCs w:val="20"/>
              </w:rPr>
              <w:t xml:space="preserve">0.062</w:t>
            </w:r>
          </w:p>
        </w:tc>
        <w:tc>
          <w:tcPr>
            <w:tcW w:type="dxa" w:w="2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sz w:val="20"/>
                <w:szCs w:val="20"/>
              </w:rPr>
              <w:t xml:space="preserve">6</w:t>
            </w:r>
          </w:p>
        </w:tc>
      </w:tr>
    </w:tbl>
    <w:p>
      <w:pPr>
        <w:spacing w:after="80"/>
      </w:pPr>
    </w:p>
    <w:p>
      <w:pPr>
        <w:pStyle w:val="ListParagraph"/>
        <w:numPr>
          <w:ilvl w:val="0"/>
          <w:numId w:val="7"/>
        </w:numPr>
        <w:spacing w:after="80" w:line="276"/>
      </w:pPr>
      <w:r>
        <w:rPr>
          <w:b/>
          <w:bCs/>
        </w:rPr>
        <w:t xml:space="preserve">Recalculate the index without energy</w:t>
      </w:r>
      <w:r>
        <w:t xml:space="preserve"> as above (this uses the normalised values from Example B).</w:t>
      </w:r>
    </w:p>
    <w:p>
      <w:pPr>
        <w:pStyle w:val="ListParagraph"/>
        <w:numPr>
          <w:ilvl w:val="0"/>
          <w:numId w:val="7"/>
        </w:numPr>
        <w:spacing w:after="80" w:line="276"/>
      </w:pPr>
      <w:r>
        <w:rPr>
          <w:b/>
          <w:bCs/>
        </w:rPr>
        <w:t xml:space="preserve">Correlation:</w:t>
      </w:r>
      <w:r>
        <w:t xml:space="preserve"> =CORREL(energy, PEI ex-energy) = </w:t>
      </w:r>
      <w:r>
        <w:rPr>
          <w:b/>
          <w:bCs/>
        </w:rPr>
        <w:t xml:space="preserve">-0.497</w:t>
      </w:r>
      <w:r>
        <w:t xml:space="preserve">.</w:t>
      </w:r>
    </w:p>
    <w:p>
      <w:pPr>
        <w:pStyle w:val="ListParagraph"/>
        <w:numPr>
          <w:ilvl w:val="0"/>
          <w:numId w:val="7"/>
        </w:numPr>
        <w:spacing w:after="80" w:line="276"/>
      </w:pPr>
      <w:r>
        <w:rPr>
          <w:b/>
          <w:bCs/>
        </w:rPr>
        <w:t xml:space="preserve">Sample-size check:</w:t>
      </w:r>
      <w:r>
        <w:t xml:space="preserve"> with only six segments, |r| must exceed </w:t>
      </w:r>
      <w:r>
        <w:rPr>
          <w:b/>
          <w:bCs/>
        </w:rPr>
        <w:t xml:space="preserve">0.811</w:t>
      </w:r>
      <w:r>
        <w:t xml:space="preserve"> to be significant at 5%. The p-value is </w:t>
      </w:r>
      <w:r>
        <w:rPr>
          <w:b/>
          <w:bCs/>
        </w:rPr>
        <w:t xml:space="preserve">0.316</w:t>
      </w:r>
      <w:r>
        <w:t xml:space="preserve">.</w:t>
      </w:r>
    </w:p>
    <w:p>
      <w:pPr>
        <w:pStyle w:val="ListParagraph"/>
        <w:numPr>
          <w:ilvl w:val="0"/>
          <w:numId w:val="7"/>
        </w:numPr>
        <w:spacing w:after="80" w:line="276"/>
      </w:pPr>
      <w:r>
        <w:rPr>
          <w:b/>
          <w:bCs/>
        </w:rPr>
        <w:t xml:space="preserve">Decision rule:</w:t>
      </w:r>
      <w:r>
        <w:t xml:space="preserve"> r of -0.5 or stronger. -0.497 just misses, and it is not significant anyway.</w:t>
      </w:r>
    </w:p>
    <w:p>
      <w:pPr>
        <w:pStyle w:val="ListParagraph"/>
        <w:numPr>
          <w:ilvl w:val="0"/>
          <w:numId w:val="7"/>
        </w:numPr>
        <w:spacing w:after="80" w:line="276"/>
      </w:pPr>
      <w:r>
        <w:rPr>
          <w:b/>
          <w:bCs/>
        </w:rPr>
        <w:t xml:space="preserve">Fix for the real run:</w:t>
      </w:r>
      <w:r>
        <w:t xml:space="preserve"> use a segment-by-year panel. Six segments over ten years gives 60 observations, where |r| above about </w:t>
      </w:r>
      <w:r>
        <w:rPr>
          <w:b/>
          <w:bCs/>
        </w:rPr>
        <w:t xml:space="preserve">0.25</w:t>
      </w:r>
      <w:r>
        <w:t xml:space="preserve"> is enough.</w:t>
      </w:r>
    </w:p>
    <w:p>
      <w:pPr>
        <w:spacing w:after="120" w:before="80" w:line="276"/>
      </w:pPr>
      <w:r>
        <w:rPr>
          <w:b/>
          <w:bCs/>
        </w:rPr>
        <w:t xml:space="preserve">Verdict: NOT SUPPORTED on six points.</w:t>
      </w:r>
      <w:r>
        <w:t xml:space="preserve"> The direction is negative as predicted, but six observations cannot separate a moderate relationship from chance. For comparison, using the full PEI gives r = -0.762, which looks impressive and is exactly why it must not be used: energy is inside it.</w:t>
      </w:r>
    </w:p>
    <w:p>
      <w:pPr>
        <w:pStyle w:val="Heading1"/>
        <w:keepNext/>
      </w:pPr>
      <w:r>
        <w:t xml:space="preserve">8. Original Analysis: Robustness and Scenarios</w:t>
      </w:r>
    </w:p>
    <w:p>
      <w:pPr>
        <w:spacing w:after="120" w:before="0" w:line="276"/>
      </w:pPr>
      <w:r>
        <w:t xml:space="preserve">A ranking is only useful if it survives questions. This section stress-tests the NutriLine Foods result from Example B and turns it into decisions. All inputs here are illustrative and sit in the Assumptions sheet.</w:t>
      </w:r>
    </w:p>
    <w:p>
      <w:pPr>
        <w:pStyle w:val="Heading2"/>
        <w:keepNext/>
      </w:pPr>
      <w:r>
        <w:t xml:space="preserve">8.1 Does the ranking depend on the weights?</w:t>
      </w:r>
    </w:p>
    <w:p>
      <w:pPr>
        <w:keepNext/>
        <w:spacing w:after="120" w:before="0" w:line="276"/>
      </w:pPr>
      <w:r>
        <w:t xml:space="preserve">Same data as Example B, five different weight sets (labour / energy / yield). In Excel this is a one-variable Data Table with the weight set as the input.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300"/>
        <w:gridCol w:w="2300"/>
        <w:gridCol w:w="1838"/>
      </w:tblGrid>
      <w:tr>
        <w:trPr>
          <w:tblHeader/>
        </w:trPr>
        <w:tc>
          <w:tcPr>
            <w:tcW w:type="dxa" w:w="27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r>
              <w:rPr>
                <w:b/>
                <w:bCs/>
                <w:color w:val="FFFFFF"/>
                <w:sz w:val="20"/>
                <w:szCs w:val="20"/>
              </w:rPr>
              <w:t xml:space="preserve">Weights</w:t>
            </w:r>
          </w:p>
        </w:tc>
        <w:tc>
          <w:tcPr>
            <w:tcW w:type="dxa" w:w="15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NutriLine PEI</w:t>
            </w:r>
          </w:p>
        </w:tc>
        <w:tc>
          <w:tcPr>
            <w:tcW w:type="dxa" w:w="13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Rank</w:t>
            </w:r>
          </w:p>
        </w:tc>
        <w:tc>
          <w:tcPr>
            <w:tcW w:type="dxa" w:w="23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r>
              <w:rPr>
                <w:b/>
                <w:bCs/>
                <w:color w:val="FFFFFF"/>
                <w:sz w:val="20"/>
                <w:szCs w:val="20"/>
              </w:rPr>
              <w:t xml:space="preserve">Leader (PEI)</w:t>
            </w:r>
          </w:p>
        </w:tc>
        <w:tc>
          <w:tcPr>
            <w:tcW w:type="dxa" w:w="18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Gap to Dairy</w:t>
            </w:r>
          </w:p>
        </w:tc>
      </w:tr>
      <w:tr>
        <w:trPr>
          <w:cantSplit/>
        </w:trPr>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Base 40 / 30 / 30</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0.264</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4</w:t>
            </w:r>
          </w:p>
        </w:tc>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Edible oils (0.827)</w:t>
            </w:r>
          </w:p>
        </w:tc>
        <w:tc>
          <w:tcPr>
            <w:tcW w:type="dxa" w:w="18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0.235</w:t>
            </w:r>
          </w:p>
        </w:tc>
      </w:tr>
      <w:tr>
        <w:trPr>
          <w:cantSplit/>
        </w:trPr>
        <w:tc>
          <w:tcPr>
            <w:tcW w:type="dxa" w:w="2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pPr>
            <w:r>
              <w:rPr>
                <w:sz w:val="20"/>
                <w:szCs w:val="20"/>
              </w:rPr>
              <w:t xml:space="preserve">Equal 33 / 33 / 33</w:t>
            </w:r>
          </w:p>
        </w:tc>
        <w:tc>
          <w:tcPr>
            <w:tcW w:type="dxa" w:w="1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0.267</w:t>
            </w:r>
          </w:p>
        </w:tc>
        <w:tc>
          <w:tcPr>
            <w:tcW w:type="dxa" w:w="13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4</w:t>
            </w:r>
          </w:p>
        </w:tc>
        <w:tc>
          <w:tcPr>
            <w:tcW w:type="dxa" w:w="23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pPr>
            <w:r>
              <w:rPr>
                <w:sz w:val="20"/>
                <w:szCs w:val="20"/>
              </w:rPr>
              <w:t xml:space="preserve">Edible oils (0.808)</w:t>
            </w:r>
          </w:p>
        </w:tc>
        <w:tc>
          <w:tcPr>
            <w:tcW w:type="dxa" w:w="18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0.256</w:t>
            </w:r>
          </w:p>
        </w:tc>
      </w:tr>
      <w:tr>
        <w:trPr>
          <w:cantSplit/>
        </w:trPr>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Energy-heavy 20 / 50 / 30</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0.251</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4</w:t>
            </w:r>
          </w:p>
        </w:tc>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Edible oils (0.765)</w:t>
            </w:r>
          </w:p>
        </w:tc>
        <w:tc>
          <w:tcPr>
            <w:tcW w:type="dxa" w:w="18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0.248</w:t>
            </w:r>
          </w:p>
        </w:tc>
      </w:tr>
      <w:tr>
        <w:trPr>
          <w:cantSplit/>
        </w:trPr>
        <w:tc>
          <w:tcPr>
            <w:tcW w:type="dxa" w:w="2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pPr>
            <w:r>
              <w:rPr>
                <w:sz w:val="20"/>
                <w:szCs w:val="20"/>
              </w:rPr>
              <w:t xml:space="preserve">Labour-heavy 60 / 20 / 20</w:t>
            </w:r>
          </w:p>
        </w:tc>
        <w:tc>
          <w:tcPr>
            <w:tcW w:type="dxa" w:w="1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0.256</w:t>
            </w:r>
          </w:p>
        </w:tc>
        <w:tc>
          <w:tcPr>
            <w:tcW w:type="dxa" w:w="13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4</w:t>
            </w:r>
          </w:p>
        </w:tc>
        <w:tc>
          <w:tcPr>
            <w:tcW w:type="dxa" w:w="23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pPr>
            <w:r>
              <w:rPr>
                <w:sz w:val="20"/>
                <w:szCs w:val="20"/>
              </w:rPr>
              <w:t xml:space="preserve">Edible oils (0.885)</w:t>
            </w:r>
          </w:p>
        </w:tc>
        <w:tc>
          <w:tcPr>
            <w:tcW w:type="dxa" w:w="18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0.171</w:t>
            </w:r>
          </w:p>
        </w:tc>
      </w:tr>
      <w:tr>
        <w:trPr>
          <w:cantSplit/>
        </w:trPr>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val="false"/>
              <w:spacing w:after="40"/>
            </w:pPr>
            <w:r>
              <w:rPr>
                <w:sz w:val="20"/>
                <w:szCs w:val="20"/>
              </w:rPr>
              <w:t xml:space="preserve">Yield-heavy 20 / 20 / 60</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val="false"/>
              <w:spacing w:after="40"/>
              <w:jc w:val="center"/>
            </w:pPr>
            <w:r>
              <w:rPr>
                <w:sz w:val="20"/>
                <w:szCs w:val="20"/>
              </w:rPr>
              <w:t xml:space="preserve">0.317</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val="false"/>
              <w:spacing w:after="40"/>
              <w:jc w:val="center"/>
            </w:pPr>
            <w:r>
              <w:rPr>
                <w:sz w:val="20"/>
                <w:szCs w:val="20"/>
              </w:rPr>
              <w:t xml:space="preserve">4</w:t>
            </w:r>
          </w:p>
        </w:tc>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val="false"/>
              <w:spacing w:after="40"/>
            </w:pPr>
            <w:r>
              <w:rPr>
                <w:sz w:val="20"/>
                <w:szCs w:val="20"/>
              </w:rPr>
              <w:t xml:space="preserve">Edible oils (0.781)</w:t>
            </w:r>
          </w:p>
        </w:tc>
        <w:tc>
          <w:tcPr>
            <w:tcW w:type="dxa" w:w="18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val="false"/>
              <w:spacing w:after="40"/>
              <w:jc w:val="center"/>
            </w:pPr>
            <w:r>
              <w:rPr>
                <w:sz w:val="20"/>
                <w:szCs w:val="20"/>
              </w:rPr>
              <w:t xml:space="preserve">0.397</w:t>
            </w:r>
          </w:p>
        </w:tc>
      </w:tr>
    </w:tbl>
    <w:p>
      <w:pPr>
        <w:spacing w:after="60"/>
      </w:pPr>
    </w:p>
    <w:p>
      <w:pPr>
        <w:spacing w:after="120" w:before="0" w:line="276"/>
      </w:pPr>
      <w:r>
        <w:rPr>
          <w:b/>
          <w:bCs/>
        </w:rPr>
        <w:t xml:space="preserve">Reading:</w:t>
      </w:r>
      <w:r>
        <w:t xml:space="preserve"> NutriLine ranks 4th under all five weight sets, so the finding is robust. What the weights change is </w:t>
      </w:r>
      <w:r>
        <w:rPr>
          <w:b/>
          <w:bCs/>
        </w:rPr>
        <w:t xml:space="preserve">how far</w:t>
      </w:r>
      <w:r>
        <w:t xml:space="preserve"> it trails Dairy: the gap runs from 0.17 to 0.40, and it is widest when yield is weighted heavily because Dairy has the best yield. The weights decide the size of the gap, not whether it exists.</w:t>
      </w:r>
    </w:p>
    <w:p>
      <w:pPr>
        <w:pStyle w:val="Heading2"/>
        <w:keepNext/>
      </w:pPr>
      <w:r>
        <w:t xml:space="preserve">8.2 Which lever pays most?</w:t>
      </w:r>
    </w:p>
    <w:p>
      <w:pPr>
        <w:keepNext/>
        <w:spacing w:after="120" w:before="0" w:line="276"/>
      </w:pPr>
      <w:r>
        <w:t xml:space="preserve">Assumptions (illustrative): 20,000 tonnes of input a year, electricity at $0.10 per kWh, and a selling price of $900 per tonne of 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1200"/>
        <w:gridCol w:w="1300"/>
        <w:gridCol w:w="2138"/>
      </w:tblGrid>
      <w:tr>
        <w:trPr>
          <w:tblHeader/>
        </w:trPr>
        <w:tc>
          <w:tcPr>
            <w:tcW w:type="dxa" w:w="23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r>
              <w:rPr>
                <w:b/>
                <w:bCs/>
                <w:color w:val="FFFFFF"/>
                <w:sz w:val="20"/>
                <w:szCs w:val="20"/>
              </w:rPr>
              <w:t xml:space="preserve">Lever</w:t>
            </w:r>
          </w:p>
        </w:tc>
        <w:tc>
          <w:tcPr>
            <w:tcW w:type="dxa" w:w="27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r>
              <w:rPr>
                <w:b/>
                <w:bCs/>
                <w:color w:val="FFFFFF"/>
                <w:sz w:val="20"/>
                <w:szCs w:val="20"/>
              </w:rPr>
              <w:t xml:space="preserve">Change</w:t>
            </w:r>
          </w:p>
        </w:tc>
        <w:tc>
          <w:tcPr>
            <w:tcW w:type="dxa" w:w="12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PEI after</w:t>
            </w:r>
          </w:p>
        </w:tc>
        <w:tc>
          <w:tcPr>
            <w:tcW w:type="dxa" w:w="13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Change in PEI</w:t>
            </w:r>
          </w:p>
        </w:tc>
        <w:tc>
          <w:tcPr>
            <w:tcW w:type="dxa" w:w="21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r>
              <w:rPr>
                <w:b/>
                <w:bCs/>
                <w:color w:val="FFFFFF"/>
                <w:sz w:val="20"/>
                <w:szCs w:val="20"/>
              </w:rPr>
              <w:t xml:space="preserve">Annual value</w:t>
            </w:r>
          </w:p>
        </w:tc>
      </w:tr>
      <w:tr>
        <w:trPr>
          <w:cantSplit/>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Cut energy use</w:t>
            </w:r>
          </w:p>
        </w:tc>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230 to 207 kWh/t (-10%)</w:t>
            </w:r>
          </w:p>
        </w:tc>
        <w:tc>
          <w:tcPr>
            <w:tcW w:type="dxa" w:w="1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0.304</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+0.040</w:t>
            </w:r>
          </w:p>
        </w:tc>
        <w:tc>
          <w:tcPr>
            <w:tcW w:type="dxa" w:w="21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+$46,000 energy cost saved</w:t>
            </w:r>
          </w:p>
        </w:tc>
      </w:tr>
      <w:tr>
        <w:trPr>
          <w:cantSplit/>
        </w:trPr>
        <w:tc>
          <w:tcPr>
            <w:tcW w:type="dxa" w:w="23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pPr>
            <w:r>
              <w:rPr>
                <w:sz w:val="20"/>
                <w:szCs w:val="20"/>
              </w:rPr>
              <w:t xml:space="preserve">Raise yield</w:t>
            </w:r>
          </w:p>
        </w:tc>
        <w:tc>
          <w:tcPr>
            <w:tcW w:type="dxa" w:w="2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pPr>
            <w:r>
              <w:rPr>
                <w:sz w:val="20"/>
                <w:szCs w:val="20"/>
              </w:rPr>
              <w:t xml:space="preserve">80% to 83%</w:t>
            </w:r>
          </w:p>
        </w:tc>
        <w:tc>
          <w:tcPr>
            <w:tcW w:type="dxa" w:w="1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0.304</w:t>
            </w:r>
          </w:p>
        </w:tc>
        <w:tc>
          <w:tcPr>
            <w:tcW w:type="dxa" w:w="13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20"/>
                <w:szCs w:val="20"/>
              </w:rPr>
              <w:t xml:space="preserve">+0.040</w:t>
            </w:r>
          </w:p>
        </w:tc>
        <w:tc>
          <w:tcPr>
            <w:tcW w:type="dxa" w:w="21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pPr>
            <w:r>
              <w:rPr>
                <w:sz w:val="20"/>
                <w:szCs w:val="20"/>
              </w:rPr>
              <w:t xml:space="preserve">+$540,000 (600 t more output)</w:t>
            </w:r>
          </w:p>
        </w:tc>
      </w:tr>
      <w:tr>
        <w:trPr>
          <w:cantSplit/>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Raise labour productivity</w:t>
            </w:r>
          </w:p>
        </w:tc>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3.0 to 3.3 t per labour hour (+10%)</w:t>
            </w:r>
          </w:p>
        </w:tc>
        <w:tc>
          <w:tcPr>
            <w:tcW w:type="dxa" w:w="1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0.291</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20"/>
                <w:szCs w:val="20"/>
              </w:rPr>
              <w:t xml:space="preserve">+0.027</w:t>
            </w:r>
          </w:p>
        </w:tc>
        <w:tc>
          <w:tcPr>
            <w:tcW w:type="dxa" w:w="21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20"/>
                <w:szCs w:val="20"/>
              </w:rPr>
              <w:t xml:space="preserve">Not monetised in this model</w:t>
            </w:r>
          </w:p>
        </w:tc>
      </w:tr>
      <w:tr>
        <w:trPr>
          <w:cantSplit/>
        </w:trPr>
        <w:tc>
          <w:tcPr>
            <w:tcW w:type="dxa" w:w="23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pPr>
            <w:r>
              <w:rPr>
                <w:b/>
                <w:bCs/>
                <w:sz w:val="20"/>
                <w:szCs w:val="20"/>
              </w:rPr>
              <w:t xml:space="preserve">All three together</w:t>
            </w:r>
          </w:p>
        </w:tc>
        <w:tc>
          <w:tcPr>
            <w:tcW w:type="dxa" w:w="2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pPr>
          </w:p>
        </w:tc>
        <w:tc>
          <w:tcPr>
            <w:tcW w:type="dxa" w:w="1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b/>
                <w:bCs/>
                <w:sz w:val="20"/>
                <w:szCs w:val="20"/>
              </w:rPr>
              <w:t xml:space="preserve">0.369</w:t>
            </w:r>
          </w:p>
        </w:tc>
        <w:tc>
          <w:tcPr>
            <w:tcW w:type="dxa" w:w="13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jc w:val="center"/>
            </w:pPr>
            <w:r>
              <w:rPr>
                <w:b/>
                <w:bCs/>
                <w:sz w:val="20"/>
                <w:szCs w:val="20"/>
              </w:rPr>
              <w:t xml:space="preserve">+0.105</w:t>
            </w:r>
          </w:p>
        </w:tc>
        <w:tc>
          <w:tcPr>
            <w:tcW w:type="dxa" w:w="21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val="false"/>
              <w:spacing w:after="40"/>
            </w:pPr>
            <w:r>
              <w:rPr>
                <w:b/>
                <w:bCs/>
                <w:sz w:val="20"/>
                <w:szCs w:val="20"/>
              </w:rPr>
              <w:t xml:space="preserve">+$586,000</w:t>
            </w:r>
          </w:p>
        </w:tc>
      </w:tr>
    </w:tbl>
    <w:p>
      <w:pPr>
        <w:spacing w:after="60"/>
      </w:pPr>
    </w:p>
    <w:p>
      <w:pPr>
        <w:spacing w:after="120" w:before="0" w:line="276"/>
      </w:pPr>
      <w:r>
        <w:rPr>
          <w:b/>
          <w:bCs/>
        </w:rPr>
        <w:t xml:space="preserve">Reading:</w:t>
      </w:r>
      <w:r>
        <w:t xml:space="preserve"> energy is NutriLine's weakest component, but </w:t>
      </w:r>
      <w:r>
        <w:rPr>
          <w:b/>
          <w:bCs/>
        </w:rPr>
        <w:t xml:space="preserve">yield is the better first target</w:t>
      </w:r>
      <w:r>
        <w:t xml:space="preserve">. It lifts the PEI by the same 0.040 and is worth about 12 times as much money ($540,000 against $46,000). A ranking tells you where you are weakest. The what-if tells you where fixing it pays. Both belong in the recommendation.</w:t>
      </w:r>
    </w:p>
    <w:p>
      <w:pPr>
        <w:pStyle w:val="Heading2"/>
        <w:keepNext/>
      </w:pPr>
      <w:r>
        <w:t xml:space="preserve">8.3 Base, optimistic and stressed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200"/>
        <w:gridCol w:w="1000"/>
        <w:gridCol w:w="1000"/>
        <w:gridCol w:w="800"/>
        <w:gridCol w:w="2838"/>
      </w:tblGrid>
      <w:tr>
        <w:trPr>
          <w:tblHeader/>
        </w:trPr>
        <w:tc>
          <w:tcPr>
            <w:tcW w:type="dxa" w:w="17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r>
              <w:rPr>
                <w:b/>
                <w:bCs/>
                <w:color w:val="FFFFFF"/>
                <w:sz w:val="18"/>
                <w:szCs w:val="18"/>
              </w:rPr>
              <w:t xml:space="preserve">Scenario</w:t>
            </w:r>
          </w:p>
        </w:tc>
        <w:tc>
          <w:tcPr>
            <w:tcW w:type="dxa" w:w="11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8"/>
                <w:szCs w:val="18"/>
              </w:rPr>
              <w:t xml:space="preserve">Output (t/hr)</w:t>
            </w:r>
          </w:p>
        </w:tc>
        <w:tc>
          <w:tcPr>
            <w:tcW w:type="dxa" w:w="12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8"/>
                <w:szCs w:val="18"/>
              </w:rPr>
              <w:t xml:space="preserve">Energy (kWh/t)</w:t>
            </w:r>
          </w:p>
        </w:tc>
        <w:tc>
          <w:tcPr>
            <w:tcW w:type="dxa" w:w="10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8"/>
                <w:szCs w:val="18"/>
              </w:rPr>
              <w:t xml:space="preserve">Yield (%)</w:t>
            </w:r>
          </w:p>
        </w:tc>
        <w:tc>
          <w:tcPr>
            <w:tcW w:type="dxa" w:w="10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8"/>
                <w:szCs w:val="18"/>
              </w:rPr>
              <w:t xml:space="preserve">PEI</w:t>
            </w:r>
          </w:p>
        </w:tc>
        <w:tc>
          <w:tcPr>
            <w:tcW w:type="dxa" w:w="8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8"/>
                <w:szCs w:val="18"/>
              </w:rPr>
              <w:t xml:space="preserve">Rank</w:t>
            </w:r>
          </w:p>
        </w:tc>
        <w:tc>
          <w:tcPr>
            <w:tcW w:type="dxa" w:w="28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r>
              <w:rPr>
                <w:b/>
                <w:bCs/>
                <w:color w:val="FFFFFF"/>
                <w:sz w:val="18"/>
                <w:szCs w:val="18"/>
              </w:rPr>
              <w:t xml:space="preserve">Net annual value</w:t>
            </w:r>
          </w:p>
        </w:tc>
      </w:tr>
      <w:tr>
        <w:trPr>
          <w:cantSplit/>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18"/>
                <w:szCs w:val="18"/>
              </w:rPr>
              <w:t xml:space="preserve">Stressed</w:t>
            </w:r>
          </w:p>
        </w:tc>
        <w:tc>
          <w:tcPr>
            <w:tcW w:type="dxa" w:w="11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8"/>
                <w:szCs w:val="18"/>
              </w:rPr>
              <w:t xml:space="preserve">2.85</w:t>
            </w:r>
          </w:p>
        </w:tc>
        <w:tc>
          <w:tcPr>
            <w:tcW w:type="dxa" w:w="1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8"/>
                <w:szCs w:val="18"/>
              </w:rPr>
              <w:t xml:space="preserve">253</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8"/>
                <w:szCs w:val="18"/>
              </w:rPr>
              <w:t xml:space="preserve">78</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8"/>
                <w:szCs w:val="18"/>
              </w:rPr>
              <w:t xml:space="preserve">0.186</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sz w:val="18"/>
                <w:szCs w:val="18"/>
              </w:rPr>
              <w:t xml:space="preserve">4</w:t>
            </w:r>
          </w:p>
        </w:tc>
        <w:tc>
          <w:tcPr>
            <w:tcW w:type="dxa" w:w="28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18"/>
                <w:szCs w:val="18"/>
              </w:rPr>
              <w:t xml:space="preserve">-$406,000 (energy +$46,000, yield -400 t)</w:t>
            </w:r>
          </w:p>
        </w:tc>
      </w:tr>
      <w:tr>
        <w:trPr>
          <w:cantSplit/>
        </w:trPr>
        <w:tc>
          <w:tcPr>
            <w:tcW w:type="dxa" w:w="17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pPr>
            <w:r>
              <w:rPr>
                <w:b/>
                <w:bCs/>
                <w:sz w:val="18"/>
                <w:szCs w:val="18"/>
              </w:rPr>
              <w:t xml:space="preserve">Base</w:t>
            </w:r>
          </w:p>
        </w:tc>
        <w:tc>
          <w:tcPr>
            <w:tcW w:type="dxa" w:w="11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18"/>
                <w:szCs w:val="18"/>
              </w:rPr>
              <w:t xml:space="preserve">3.0</w:t>
            </w:r>
          </w:p>
        </w:tc>
        <w:tc>
          <w:tcPr>
            <w:tcW w:type="dxa" w:w="1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18"/>
                <w:szCs w:val="18"/>
              </w:rPr>
              <w:t xml:space="preserve">230</w:t>
            </w:r>
          </w:p>
        </w:tc>
        <w:tc>
          <w:tcPr>
            <w:tcW w:type="dxa" w:w="1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18"/>
                <w:szCs w:val="18"/>
              </w:rPr>
              <w:t xml:space="preserve">80</w:t>
            </w:r>
          </w:p>
        </w:tc>
        <w:tc>
          <w:tcPr>
            <w:tcW w:type="dxa" w:w="1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b/>
                <w:bCs/>
                <w:sz w:val="18"/>
                <w:szCs w:val="18"/>
              </w:rPr>
              <w:t xml:space="preserve">0.264</w:t>
            </w:r>
          </w:p>
        </w:tc>
        <w:tc>
          <w:tcPr>
            <w:tcW w:type="dxa" w:w="8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jc w:val="center"/>
            </w:pPr>
            <w:r>
              <w:rPr>
                <w:sz w:val="18"/>
                <w:szCs w:val="18"/>
              </w:rPr>
              <w:t xml:space="preserve">4</w:t>
            </w:r>
          </w:p>
        </w:tc>
        <w:tc>
          <w:tcPr>
            <w:tcW w:type="dxa" w:w="28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keepNext/>
              <w:spacing w:after="40"/>
            </w:pPr>
            <w:r>
              <w:rPr>
                <w:sz w:val="18"/>
                <w:szCs w:val="18"/>
              </w:rPr>
              <w:t xml:space="preserve">$0</w:t>
            </w:r>
          </w:p>
        </w:tc>
      </w:tr>
      <w:tr>
        <w:trPr>
          <w:cantSplit/>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val="false"/>
              <w:spacing w:after="40"/>
            </w:pPr>
            <w:r>
              <w:rPr>
                <w:sz w:val="18"/>
                <w:szCs w:val="18"/>
              </w:rPr>
              <w:t xml:space="preserve">Optimistic</w:t>
            </w:r>
          </w:p>
        </w:tc>
        <w:tc>
          <w:tcPr>
            <w:tcW w:type="dxa" w:w="11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val="false"/>
              <w:spacing w:after="40"/>
              <w:jc w:val="center"/>
            </w:pPr>
            <w:r>
              <w:rPr>
                <w:sz w:val="18"/>
                <w:szCs w:val="18"/>
              </w:rPr>
              <w:t xml:space="preserve">3.3</w:t>
            </w:r>
          </w:p>
        </w:tc>
        <w:tc>
          <w:tcPr>
            <w:tcW w:type="dxa" w:w="1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val="false"/>
              <w:spacing w:after="40"/>
              <w:jc w:val="center"/>
            </w:pPr>
            <w:r>
              <w:rPr>
                <w:sz w:val="18"/>
                <w:szCs w:val="18"/>
              </w:rPr>
              <w:t xml:space="preserve">207</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val="false"/>
              <w:spacing w:after="40"/>
              <w:jc w:val="center"/>
            </w:pPr>
            <w:r>
              <w:rPr>
                <w:sz w:val="18"/>
                <w:szCs w:val="18"/>
              </w:rPr>
              <w:t xml:space="preserve">83</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val="false"/>
              <w:spacing w:after="40"/>
              <w:jc w:val="center"/>
            </w:pPr>
            <w:r>
              <w:rPr>
                <w:sz w:val="18"/>
                <w:szCs w:val="18"/>
              </w:rPr>
              <w:t xml:space="preserve">0.369</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val="false"/>
              <w:spacing w:after="40"/>
              <w:jc w:val="center"/>
            </w:pPr>
            <w:r>
              <w:rPr>
                <w:sz w:val="18"/>
                <w:szCs w:val="18"/>
              </w:rPr>
              <w:t xml:space="preserve">4</w:t>
            </w:r>
          </w:p>
        </w:tc>
        <w:tc>
          <w:tcPr>
            <w:tcW w:type="dxa" w:w="28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val="false"/>
              <w:spacing w:after="40"/>
            </w:pPr>
            <w:r>
              <w:rPr>
                <w:sz w:val="18"/>
                <w:szCs w:val="18"/>
              </w:rPr>
              <w:t xml:space="preserve">+$586,000</w:t>
            </w:r>
          </w:p>
        </w:tc>
      </w:tr>
    </w:tbl>
    <w:p>
      <w:pPr>
        <w:spacing w:after="60"/>
      </w:pPr>
    </w:p>
    <w:p>
      <w:pPr>
        <w:spacing w:after="120" w:before="0" w:line="276"/>
      </w:pPr>
      <w:r>
        <w:rPr>
          <w:b/>
          <w:bCs/>
        </w:rPr>
        <w:t xml:space="preserve">Reading:</w:t>
      </w:r>
      <w:r>
        <w:t xml:space="preserve"> the downside (-$406,000) and upside (+$586,000) are lopsided in favour of improvement, which supports acting. Even the optimistic case keeps NutriLine 4th, because Dairy (0.499) is out of reach through these three levers alone. The stressed case still ranks above Meat (0.163) and Fruit and veg (0.143). In Excel, Scenario Manager stores the three cases and produces this table in one click.</w:t>
      </w:r>
    </w:p>
    <w:p>
      <w:pPr>
        <w:pStyle w:val="Heading1"/>
        <w:keepNext/>
      </w:pPr>
      <w:r>
        <w:t xml:space="preserve">9. Timeline and Resource Planning</w:t>
      </w:r>
    </w:p>
    <w:p>
      <w:pPr>
        <w:spacing w:after="120" w:before="0" w:line="276"/>
      </w:pPr>
      <w:r>
        <w:t xml:space="preserve">The plan totals </w:t>
      </w:r>
      <w:r>
        <w:rPr>
          <w:b/>
          <w:bCs/>
        </w:rPr>
        <w:t xml:space="preserve">33 hours</w:t>
      </w:r>
      <w:r>
        <w:t xml:space="preserve">, inside the 30 to 35 hour estimate. It is built for </w:t>
      </w:r>
      <w:r>
        <w:rPr>
          <w:b/>
          <w:bCs/>
        </w:rPr>
        <w:t xml:space="preserve">10 working sessions of about three hours each</w:t>
      </w:r>
      <w:r>
        <w:t xml:space="preserve">, which can run over two to three weeks. Two hours are held back as a buffer in Phase 8 and the larger phases (P3, P5) have slack inside them.</w:t>
      </w:r>
    </w:p>
    <w:p>
      <w:pPr>
        <w:pStyle w:val="Heading2"/>
        <w:keepNext/>
      </w:pPr>
      <w:r>
        <w:t xml:space="preserve">9.1 Task breakdown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800"/>
        <w:gridCol w:w="2438"/>
      </w:tblGrid>
      <w:tr>
        <w:trPr>
          <w:tblHeader/>
        </w:trPr>
        <w:tc>
          <w:tcPr>
            <w:tcW w:type="dxa" w:w="25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Phase</w:t>
            </w:r>
          </w:p>
        </w:tc>
        <w:tc>
          <w:tcPr>
            <w:tcW w:type="dxa" w:w="39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Key tasks</w:t>
            </w:r>
          </w:p>
        </w:tc>
        <w:tc>
          <w:tcPr>
            <w:tcW w:type="dxa" w:w="8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jc w:val="center"/>
            </w:pPr>
            <w:r>
              <w:rPr>
                <w:b/>
                <w:bCs/>
                <w:color w:val="FFFFFF"/>
                <w:sz w:val="20"/>
                <w:szCs w:val="20"/>
              </w:rPr>
              <w:t xml:space="preserve">Hours</w:t>
            </w:r>
          </w:p>
        </w:tc>
        <w:tc>
          <w:tcPr>
            <w:tcW w:type="dxa" w:w="24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Deliverable</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P1. Frame and plan</w:t>
            </w:r>
          </w:p>
        </w:tc>
        <w:tc>
          <w:tcPr>
            <w:tcW w:type="dxa" w:w="3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Confirm objectives, questions, hypotheses, PEI definition. Set up workbook structure and README.</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20"/>
                <w:szCs w:val="20"/>
              </w:rPr>
              <w:t xml:space="preserve">2</w:t>
            </w:r>
          </w:p>
        </w:tc>
        <w:tc>
          <w:tcPr>
            <w:tcW w:type="dxa" w:w="2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Approved scope and workbook skeleton</w:t>
            </w:r>
          </w:p>
        </w:tc>
      </w:tr>
      <w:tr>
        <w:trPr>
          <w:cantSplit/>
        </w:trPr>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P2. Intake: find and collect data</w:t>
            </w:r>
          </w:p>
        </w:tc>
        <w:tc>
          <w:tcPr>
            <w:tcW w:type="dxa" w:w="3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Locate exact tables, download five datasets, record source, date and licence, and run a first look at each file.</w:t>
            </w:r>
          </w:p>
        </w:tc>
        <w:tc>
          <w:tcPr>
            <w:tcW w:type="dxa" w:w="8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20"/>
                <w:szCs w:val="20"/>
              </w:rPr>
              <w:t xml:space="preserve">5</w:t>
            </w:r>
          </w:p>
        </w:tc>
        <w:tc>
          <w:tcPr>
            <w:tcW w:type="dxa" w:w="2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Raw data sheets and source log</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P3. Inspect and clean</w:t>
            </w:r>
          </w:p>
        </w:tc>
        <w:tc>
          <w:tcPr>
            <w:tcW w:type="dxa" w:w="3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Power Query cleaning, unit and currency standardisation, category mapping, and CCP1 to CCP5 checks.</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20"/>
                <w:szCs w:val="20"/>
              </w:rPr>
              <w:t xml:space="preserve">5</w:t>
            </w:r>
          </w:p>
        </w:tc>
        <w:tc>
          <w:tcPr>
            <w:tcW w:type="dxa" w:w="2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Clean master table and quality log</w:t>
            </w:r>
          </w:p>
        </w:tc>
      </w:tr>
      <w:tr>
        <w:trPr>
          <w:cantSplit/>
        </w:trPr>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P4. Process: model and indicators</w:t>
            </w:r>
          </w:p>
        </w:tc>
        <w:tc>
          <w:tcPr>
            <w:tcW w:type="dxa" w:w="3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Engineer ratios, normalise, build the PEI, add NutriLine benchmark profile.</w:t>
            </w:r>
          </w:p>
        </w:tc>
        <w:tc>
          <w:tcPr>
            <w:tcW w:type="dxa" w:w="8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20"/>
                <w:szCs w:val="20"/>
              </w:rPr>
              <w:t xml:space="preserve">4</w:t>
            </w:r>
          </w:p>
        </w:tc>
        <w:tc>
          <w:tcPr>
            <w:tcW w:type="dxa" w:w="2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Calculation sheets and PEI ranking</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P5. Analyse and test</w:t>
            </w:r>
          </w:p>
        </w:tc>
        <w:tc>
          <w:tcPr>
            <w:tcW w:type="dxa" w:w="3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PivotTables, seasonality and volatility, correlation and regression for H1 to H4, forecasts and scenarios.</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20"/>
                <w:szCs w:val="20"/>
              </w:rPr>
              <w:t xml:space="preserve">7</w:t>
            </w:r>
          </w:p>
        </w:tc>
        <w:tc>
          <w:tcPr>
            <w:tcW w:type="dxa" w:w="2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Findings sheet and hypothesis verdicts</w:t>
            </w:r>
          </w:p>
        </w:tc>
      </w:tr>
      <w:tr>
        <w:trPr>
          <w:cantSplit/>
        </w:trPr>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P6. Package: dashboard</w:t>
            </w:r>
          </w:p>
        </w:tc>
        <w:tc>
          <w:tcPr>
            <w:tcW w:type="dxa" w:w="3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Build charts, heat maps, slicers, KPI cards and what-if panel. Test the interactions.</w:t>
            </w:r>
          </w:p>
        </w:tc>
        <w:tc>
          <w:tcPr>
            <w:tcW w:type="dxa" w:w="8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20"/>
                <w:szCs w:val="20"/>
              </w:rPr>
              <w:t xml:space="preserve">4</w:t>
            </w:r>
          </w:p>
        </w:tc>
        <w:tc>
          <w:tcPr>
            <w:tcW w:type="dxa" w:w="2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Interactive dashboard</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P7. Dispatch: insights and report</w:t>
            </w:r>
          </w:p>
        </w:tc>
        <w:tc>
          <w:tcPr>
            <w:tcW w:type="dxa" w:w="3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Write insights, recommendations with what-if values, limitations and executive summary.</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20"/>
                <w:szCs w:val="20"/>
              </w:rPr>
              <w:t xml:space="preserve">4</w:t>
            </w:r>
          </w:p>
        </w:tc>
        <w:tc>
          <w:tcPr>
            <w:tcW w:type="dxa" w:w="2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Final report and recommendations</w:t>
            </w:r>
          </w:p>
        </w:tc>
      </w:tr>
      <w:tr>
        <w:trPr>
          <w:cantSplit/>
        </w:trPr>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P8. Quality assurance and buffer</w:t>
            </w:r>
          </w:p>
        </w:tc>
        <w:tc>
          <w:tcPr>
            <w:tcW w:type="dxa" w:w="39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Formula audit, number cross-check, peer feedback, polish and contingency.</w:t>
            </w:r>
          </w:p>
        </w:tc>
        <w:tc>
          <w:tcPr>
            <w:tcW w:type="dxa" w:w="8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20"/>
                <w:szCs w:val="20"/>
              </w:rPr>
              <w:t xml:space="preserve">2</w:t>
            </w:r>
          </w:p>
        </w:tc>
        <w:tc>
          <w:tcPr>
            <w:tcW w:type="dxa" w:w="2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Verified, submission-ready workbook</w:t>
            </w:r>
          </w:p>
        </w:tc>
      </w:tr>
    </w:tbl>
    <w:p>
      <w:pPr>
        <w:spacing w:after="120"/>
      </w:pPr>
    </w:p>
    <w:p>
      <w:pPr>
        <w:pStyle w:val="Heading2"/>
        <w:keepNext/>
      </w:pPr>
      <w:r>
        <w:t xml:space="preserve">9.2 Timeline view (D = working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8"/>
        <w:gridCol w:w="600"/>
        <w:gridCol w:w="600"/>
        <w:gridCol w:w="600"/>
        <w:gridCol w:w="600"/>
        <w:gridCol w:w="600"/>
        <w:gridCol w:w="600"/>
        <w:gridCol w:w="600"/>
        <w:gridCol w:w="600"/>
        <w:gridCol w:w="600"/>
        <w:gridCol w:w="600"/>
        <w:gridCol w:w="1100"/>
      </w:tblGrid>
      <w:tr>
        <w:trPr>
          <w:tblHeader/>
        </w:trPr>
        <w:tc>
          <w:tcPr>
            <w:tcW w:type="dxa" w:w="25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r>
              <w:rPr>
                <w:b/>
                <w:bCs/>
                <w:color w:val="FFFFFF"/>
                <w:sz w:val="18"/>
                <w:szCs w:val="18"/>
              </w:rPr>
              <w:t xml:space="preserve">Phase</w:t>
            </w: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8"/>
                <w:szCs w:val="18"/>
              </w:rPr>
              <w:t xml:space="preserve">D1</w:t>
            </w: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8"/>
                <w:szCs w:val="18"/>
              </w:rPr>
              <w:t xml:space="preserve">D2</w:t>
            </w: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8"/>
                <w:szCs w:val="18"/>
              </w:rPr>
              <w:t xml:space="preserve">D3</w:t>
            </w: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8"/>
                <w:szCs w:val="18"/>
              </w:rPr>
              <w:t xml:space="preserve">D4</w:t>
            </w: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8"/>
                <w:szCs w:val="18"/>
              </w:rPr>
              <w:t xml:space="preserve">D5</w:t>
            </w: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8"/>
                <w:szCs w:val="18"/>
              </w:rPr>
              <w:t xml:space="preserve">D6</w:t>
            </w: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8"/>
                <w:szCs w:val="18"/>
              </w:rPr>
              <w:t xml:space="preserve">D7</w:t>
            </w: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8"/>
                <w:szCs w:val="18"/>
              </w:rPr>
              <w:t xml:space="preserve">D8</w:t>
            </w: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8"/>
                <w:szCs w:val="18"/>
              </w:rPr>
              <w:t xml:space="preserve">D9</w:t>
            </w: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8"/>
                <w:szCs w:val="18"/>
              </w:rPr>
              <w:t xml:space="preserve">D10</w:t>
            </w:r>
          </w:p>
        </w:tc>
        <w:tc>
          <w:tcPr>
            <w:tcW w:type="dxa" w:w="11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jc w:val="center"/>
            </w:pPr>
            <w:r>
              <w:rPr>
                <w:b/>
                <w:bCs/>
                <w:color w:val="FFFFFF"/>
                <w:sz w:val="18"/>
                <w:szCs w:val="18"/>
              </w:rPr>
              <w:t xml:space="preserve">Hours</w:t>
            </w:r>
          </w:p>
        </w:tc>
      </w:tr>
      <w:tr>
        <w:trPr>
          <w:cantSplit/>
        </w:trPr>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18"/>
                <w:szCs w:val="18"/>
              </w:rPr>
              <w:t xml:space="preserve">Frame and plan</w:t>
            </w: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11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b/>
                <w:bCs/>
                <w:sz w:val="18"/>
                <w:szCs w:val="18"/>
              </w:rPr>
              <w:t xml:space="preserve">2</w:t>
            </w:r>
          </w:p>
        </w:tc>
      </w:tr>
      <w:tr>
        <w:trPr>
          <w:cantSplit/>
        </w:trPr>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18"/>
                <w:szCs w:val="18"/>
              </w:rPr>
              <w:t xml:space="preserve">Intake: find and collect data</w:t>
            </w:r>
          </w:p>
        </w:tc>
        <w:tc>
          <w:tcPr>
            <w:tcW w:type="dxa" w:w="600"/>
            <w:tcBorders>
              <w:top w:val="single" w:color="CCCCCC" w:sz="4"/>
              <w:left w:val="single" w:color="CCCCCC" w:sz="4"/>
              <w:bottom w:val="single" w:color="CCCCCC" w:sz="4"/>
              <w:right w:val="single" w:color="CCCCCC" w:sz="4"/>
            </w:tcBorders>
            <w:shd w:fill="E8833A" w:color="auto" w:val="clear"/>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shd w:fill="E8833A" w:color="auto" w:val="clear"/>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11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b/>
                <w:bCs/>
                <w:sz w:val="18"/>
                <w:szCs w:val="18"/>
              </w:rPr>
              <w:t xml:space="preserve">5</w:t>
            </w:r>
          </w:p>
        </w:tc>
      </w:tr>
      <w:tr>
        <w:trPr>
          <w:cantSplit/>
        </w:trPr>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18"/>
                <w:szCs w:val="18"/>
              </w:rPr>
              <w:t xml:space="preserve">Inspect and clean</w:t>
            </w: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11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b/>
                <w:bCs/>
                <w:sz w:val="18"/>
                <w:szCs w:val="18"/>
              </w:rPr>
              <w:t xml:space="preserve">5</w:t>
            </w:r>
          </w:p>
        </w:tc>
      </w:tr>
      <w:tr>
        <w:trPr>
          <w:cantSplit/>
        </w:trPr>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18"/>
                <w:szCs w:val="18"/>
              </w:rPr>
              <w:t xml:space="preserve">Process: model and indicators</w:t>
            </w: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shd w:fill="E8833A" w:color="auto" w:val="clear"/>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shd w:fill="E8833A" w:color="auto" w:val="clear"/>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11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b/>
                <w:bCs/>
                <w:sz w:val="18"/>
                <w:szCs w:val="18"/>
              </w:rPr>
              <w:t xml:space="preserve">4</w:t>
            </w:r>
          </w:p>
        </w:tc>
      </w:tr>
      <w:tr>
        <w:trPr>
          <w:cantSplit/>
        </w:trPr>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18"/>
                <w:szCs w:val="18"/>
              </w:rPr>
              <w:t xml:space="preserve">Analyse and test</w:t>
            </w: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11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b/>
                <w:bCs/>
                <w:sz w:val="18"/>
                <w:szCs w:val="18"/>
              </w:rPr>
              <w:t xml:space="preserve">7</w:t>
            </w:r>
          </w:p>
        </w:tc>
      </w:tr>
      <w:tr>
        <w:trPr>
          <w:cantSplit/>
        </w:trPr>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18"/>
                <w:szCs w:val="18"/>
              </w:rPr>
              <w:t xml:space="preserve">Package: dashboard</w:t>
            </w: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shd w:fill="E8833A" w:color="auto" w:val="clear"/>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shd w:fill="E8833A" w:color="auto" w:val="clear"/>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11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b/>
                <w:bCs/>
                <w:sz w:val="18"/>
                <w:szCs w:val="18"/>
              </w:rPr>
              <w:t xml:space="preserve">4</w:t>
            </w:r>
          </w:p>
        </w:tc>
      </w:tr>
      <w:tr>
        <w:trPr>
          <w:cantSplit/>
        </w:trPr>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18"/>
                <w:szCs w:val="18"/>
              </w:rPr>
              <w:t xml:space="preserve">Dispatch: insights and report</w:t>
            </w: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11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b/>
                <w:bCs/>
                <w:sz w:val="18"/>
                <w:szCs w:val="18"/>
              </w:rPr>
              <w:t xml:space="preserve">4</w:t>
            </w:r>
          </w:p>
        </w:tc>
      </w:tr>
      <w:tr>
        <w:trPr>
          <w:cantSplit/>
        </w:trPr>
        <w:tc>
          <w:tcPr>
            <w:tcW w:type="dxa" w:w="25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r>
              <w:rPr>
                <w:sz w:val="18"/>
                <w:szCs w:val="18"/>
              </w:rPr>
              <w:t xml:space="preserve">Quality assurance and buffer</w:t>
            </w: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pPr>
          </w:p>
        </w:tc>
        <w:tc>
          <w:tcPr>
            <w:tcW w:type="dxa" w:w="600"/>
            <w:tcBorders>
              <w:top w:val="single" w:color="CCCCCC" w:sz="4"/>
              <w:left w:val="single" w:color="CCCCCC" w:sz="4"/>
              <w:bottom w:val="single" w:color="CCCCCC" w:sz="4"/>
              <w:right w:val="single" w:color="CCCCCC" w:sz="4"/>
            </w:tcBorders>
            <w:shd w:fill="E8833A" w:color="auto" w:val="clear"/>
            <w:tcMar>
              <w:top w:type="dxa" w:w="70"/>
              <w:left w:type="dxa" w:w="110"/>
              <w:bottom w:type="dxa" w:w="70"/>
              <w:right w:type="dxa" w:w="110"/>
            </w:tcMar>
            <w:vAlign w:val="top"/>
          </w:tcPr>
          <w:p>
            <w:pPr>
              <w:keepNext/>
              <w:spacing w:after="40"/>
            </w:pPr>
          </w:p>
        </w:tc>
        <w:tc>
          <w:tcPr>
            <w:tcW w:type="dxa" w:w="11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keepNext/>
              <w:spacing w:after="40"/>
              <w:jc w:val="center"/>
            </w:pPr>
            <w:r>
              <w:rPr>
                <w:b/>
                <w:bCs/>
                <w:sz w:val="18"/>
                <w:szCs w:val="18"/>
              </w:rPr>
              <w:t xml:space="preserve">2</w:t>
            </w:r>
          </w:p>
        </w:tc>
      </w:tr>
      <w:tr>
        <w:tc>
          <w:tcPr>
            <w:tcW w:type="dxa" w:w="2538"/>
            <w:tcBorders>
              <w:top w:val="single" w:color="CCCCCC" w:sz="4"/>
              <w:left w:val="single" w:color="CCCCCC" w:sz="4"/>
              <w:bottom w:val="single" w:color="CCCCCC" w:sz="4"/>
              <w:right w:val="single" w:color="CCCCCC" w:sz="4"/>
            </w:tcBorders>
            <w:shd w:fill="E6F2EA" w:color="auto" w:val="clear"/>
            <w:tcMar>
              <w:top w:type="dxa" w:w="70"/>
              <w:left w:type="dxa" w:w="110"/>
              <w:bottom w:type="dxa" w:w="70"/>
              <w:right w:type="dxa" w:w="110"/>
            </w:tcMar>
            <w:vAlign w:val="top"/>
          </w:tcPr>
          <w:p>
            <w:pPr>
              <w:spacing w:after="40"/>
            </w:pPr>
            <w:r>
              <w:rPr>
                <w:b/>
                <w:bCs/>
                <w:sz w:val="18"/>
                <w:szCs w:val="18"/>
              </w:rPr>
              <w:t xml:space="preserve">Total</w:t>
            </w:r>
          </w:p>
        </w:tc>
        <w:tc>
          <w:tcPr>
            <w:tcW w:type="dxa" w:w="600"/>
            <w:tcBorders>
              <w:top w:val="single" w:color="CCCCCC" w:sz="4"/>
              <w:left w:val="single" w:color="CCCCCC" w:sz="4"/>
              <w:bottom w:val="single" w:color="CCCCCC" w:sz="4"/>
              <w:right w:val="single" w:color="CCCCCC" w:sz="4"/>
            </w:tcBorders>
            <w:shd w:fill="E6F2EA" w:color="auto" w:val="clear"/>
            <w:tcMar>
              <w:top w:type="dxa" w:w="70"/>
              <w:left w:type="dxa" w:w="110"/>
              <w:bottom w:type="dxa" w:w="70"/>
              <w:right w:type="dxa" w:w="110"/>
            </w:tcMar>
            <w:vAlign w:val="top"/>
          </w:tcPr>
          <w:p>
            <w:pPr>
              <w:spacing w:after="40"/>
            </w:pPr>
          </w:p>
        </w:tc>
        <w:tc>
          <w:tcPr>
            <w:tcW w:type="dxa" w:w="600"/>
            <w:tcBorders>
              <w:top w:val="single" w:color="CCCCCC" w:sz="4"/>
              <w:left w:val="single" w:color="CCCCCC" w:sz="4"/>
              <w:bottom w:val="single" w:color="CCCCCC" w:sz="4"/>
              <w:right w:val="single" w:color="CCCCCC" w:sz="4"/>
            </w:tcBorders>
            <w:shd w:fill="E6F2EA" w:color="auto" w:val="clear"/>
            <w:tcMar>
              <w:top w:type="dxa" w:w="70"/>
              <w:left w:type="dxa" w:w="110"/>
              <w:bottom w:type="dxa" w:w="70"/>
              <w:right w:type="dxa" w:w="110"/>
            </w:tcMar>
            <w:vAlign w:val="top"/>
          </w:tcPr>
          <w:p>
            <w:pPr>
              <w:spacing w:after="40"/>
            </w:pPr>
          </w:p>
        </w:tc>
        <w:tc>
          <w:tcPr>
            <w:tcW w:type="dxa" w:w="600"/>
            <w:tcBorders>
              <w:top w:val="single" w:color="CCCCCC" w:sz="4"/>
              <w:left w:val="single" w:color="CCCCCC" w:sz="4"/>
              <w:bottom w:val="single" w:color="CCCCCC" w:sz="4"/>
              <w:right w:val="single" w:color="CCCCCC" w:sz="4"/>
            </w:tcBorders>
            <w:shd w:fill="E6F2EA" w:color="auto" w:val="clear"/>
            <w:tcMar>
              <w:top w:type="dxa" w:w="70"/>
              <w:left w:type="dxa" w:w="110"/>
              <w:bottom w:type="dxa" w:w="70"/>
              <w:right w:type="dxa" w:w="110"/>
            </w:tcMar>
            <w:vAlign w:val="top"/>
          </w:tcPr>
          <w:p>
            <w:pPr>
              <w:spacing w:after="40"/>
            </w:pPr>
          </w:p>
        </w:tc>
        <w:tc>
          <w:tcPr>
            <w:tcW w:type="dxa" w:w="600"/>
            <w:tcBorders>
              <w:top w:val="single" w:color="CCCCCC" w:sz="4"/>
              <w:left w:val="single" w:color="CCCCCC" w:sz="4"/>
              <w:bottom w:val="single" w:color="CCCCCC" w:sz="4"/>
              <w:right w:val="single" w:color="CCCCCC" w:sz="4"/>
            </w:tcBorders>
            <w:shd w:fill="E6F2EA" w:color="auto" w:val="clear"/>
            <w:tcMar>
              <w:top w:type="dxa" w:w="70"/>
              <w:left w:type="dxa" w:w="110"/>
              <w:bottom w:type="dxa" w:w="70"/>
              <w:right w:type="dxa" w:w="110"/>
            </w:tcMar>
            <w:vAlign w:val="top"/>
          </w:tcPr>
          <w:p>
            <w:pPr>
              <w:spacing w:after="40"/>
            </w:pPr>
          </w:p>
        </w:tc>
        <w:tc>
          <w:tcPr>
            <w:tcW w:type="dxa" w:w="600"/>
            <w:tcBorders>
              <w:top w:val="single" w:color="CCCCCC" w:sz="4"/>
              <w:left w:val="single" w:color="CCCCCC" w:sz="4"/>
              <w:bottom w:val="single" w:color="CCCCCC" w:sz="4"/>
              <w:right w:val="single" w:color="CCCCCC" w:sz="4"/>
            </w:tcBorders>
            <w:shd w:fill="E6F2EA" w:color="auto" w:val="clear"/>
            <w:tcMar>
              <w:top w:type="dxa" w:w="70"/>
              <w:left w:type="dxa" w:w="110"/>
              <w:bottom w:type="dxa" w:w="70"/>
              <w:right w:type="dxa" w:w="110"/>
            </w:tcMar>
            <w:vAlign w:val="top"/>
          </w:tcPr>
          <w:p>
            <w:pPr>
              <w:spacing w:after="40"/>
            </w:pPr>
          </w:p>
        </w:tc>
        <w:tc>
          <w:tcPr>
            <w:tcW w:type="dxa" w:w="600"/>
            <w:tcBorders>
              <w:top w:val="single" w:color="CCCCCC" w:sz="4"/>
              <w:left w:val="single" w:color="CCCCCC" w:sz="4"/>
              <w:bottom w:val="single" w:color="CCCCCC" w:sz="4"/>
              <w:right w:val="single" w:color="CCCCCC" w:sz="4"/>
            </w:tcBorders>
            <w:shd w:fill="E6F2EA" w:color="auto" w:val="clear"/>
            <w:tcMar>
              <w:top w:type="dxa" w:w="70"/>
              <w:left w:type="dxa" w:w="110"/>
              <w:bottom w:type="dxa" w:w="70"/>
              <w:right w:type="dxa" w:w="110"/>
            </w:tcMar>
            <w:vAlign w:val="top"/>
          </w:tcPr>
          <w:p>
            <w:pPr>
              <w:spacing w:after="40"/>
            </w:pPr>
          </w:p>
        </w:tc>
        <w:tc>
          <w:tcPr>
            <w:tcW w:type="dxa" w:w="600"/>
            <w:tcBorders>
              <w:top w:val="single" w:color="CCCCCC" w:sz="4"/>
              <w:left w:val="single" w:color="CCCCCC" w:sz="4"/>
              <w:bottom w:val="single" w:color="CCCCCC" w:sz="4"/>
              <w:right w:val="single" w:color="CCCCCC" w:sz="4"/>
            </w:tcBorders>
            <w:shd w:fill="E6F2EA" w:color="auto" w:val="clear"/>
            <w:tcMar>
              <w:top w:type="dxa" w:w="70"/>
              <w:left w:type="dxa" w:w="110"/>
              <w:bottom w:type="dxa" w:w="70"/>
              <w:right w:type="dxa" w:w="110"/>
            </w:tcMar>
            <w:vAlign w:val="top"/>
          </w:tcPr>
          <w:p>
            <w:pPr>
              <w:spacing w:after="40"/>
            </w:pPr>
          </w:p>
        </w:tc>
        <w:tc>
          <w:tcPr>
            <w:tcW w:type="dxa" w:w="600"/>
            <w:tcBorders>
              <w:top w:val="single" w:color="CCCCCC" w:sz="4"/>
              <w:left w:val="single" w:color="CCCCCC" w:sz="4"/>
              <w:bottom w:val="single" w:color="CCCCCC" w:sz="4"/>
              <w:right w:val="single" w:color="CCCCCC" w:sz="4"/>
            </w:tcBorders>
            <w:shd w:fill="E6F2EA" w:color="auto" w:val="clear"/>
            <w:tcMar>
              <w:top w:type="dxa" w:w="70"/>
              <w:left w:type="dxa" w:w="110"/>
              <w:bottom w:type="dxa" w:w="70"/>
              <w:right w:type="dxa" w:w="110"/>
            </w:tcMar>
            <w:vAlign w:val="top"/>
          </w:tcPr>
          <w:p>
            <w:pPr>
              <w:spacing w:after="40"/>
            </w:pPr>
          </w:p>
        </w:tc>
        <w:tc>
          <w:tcPr>
            <w:tcW w:type="dxa" w:w="600"/>
            <w:tcBorders>
              <w:top w:val="single" w:color="CCCCCC" w:sz="4"/>
              <w:left w:val="single" w:color="CCCCCC" w:sz="4"/>
              <w:bottom w:val="single" w:color="CCCCCC" w:sz="4"/>
              <w:right w:val="single" w:color="CCCCCC" w:sz="4"/>
            </w:tcBorders>
            <w:shd w:fill="E6F2EA" w:color="auto" w:val="clear"/>
            <w:tcMar>
              <w:top w:type="dxa" w:w="70"/>
              <w:left w:type="dxa" w:w="110"/>
              <w:bottom w:type="dxa" w:w="70"/>
              <w:right w:type="dxa" w:w="110"/>
            </w:tcMar>
            <w:vAlign w:val="top"/>
          </w:tcPr>
          <w:p>
            <w:pPr>
              <w:spacing w:after="40"/>
            </w:pPr>
          </w:p>
        </w:tc>
        <w:tc>
          <w:tcPr>
            <w:tcW w:type="dxa" w:w="600"/>
            <w:tcBorders>
              <w:top w:val="single" w:color="CCCCCC" w:sz="4"/>
              <w:left w:val="single" w:color="CCCCCC" w:sz="4"/>
              <w:bottom w:val="single" w:color="CCCCCC" w:sz="4"/>
              <w:right w:val="single" w:color="CCCCCC" w:sz="4"/>
            </w:tcBorders>
            <w:shd w:fill="E6F2EA" w:color="auto" w:val="clear"/>
            <w:tcMar>
              <w:top w:type="dxa" w:w="70"/>
              <w:left w:type="dxa" w:w="110"/>
              <w:bottom w:type="dxa" w:w="70"/>
              <w:right w:type="dxa" w:w="110"/>
            </w:tcMar>
            <w:vAlign w:val="top"/>
          </w:tcPr>
          <w:p>
            <w:pPr>
              <w:spacing w:after="40"/>
            </w:pPr>
          </w:p>
        </w:tc>
        <w:tc>
          <w:tcPr>
            <w:tcW w:type="dxa" w:w="1100"/>
            <w:tcBorders>
              <w:top w:val="single" w:color="CCCCCC" w:sz="4"/>
              <w:left w:val="single" w:color="CCCCCC" w:sz="4"/>
              <w:bottom w:val="single" w:color="CCCCCC" w:sz="4"/>
              <w:right w:val="single" w:color="CCCCCC" w:sz="4"/>
            </w:tcBorders>
            <w:shd w:fill="E6F2EA" w:color="auto" w:val="clear"/>
            <w:tcMar>
              <w:top w:type="dxa" w:w="70"/>
              <w:left w:type="dxa" w:w="110"/>
              <w:bottom w:type="dxa" w:w="70"/>
              <w:right w:type="dxa" w:w="110"/>
            </w:tcMar>
            <w:vAlign w:val="top"/>
          </w:tcPr>
          <w:p>
            <w:pPr>
              <w:spacing w:after="40"/>
              <w:jc w:val="center"/>
            </w:pPr>
            <w:r>
              <w:rPr>
                <w:b/>
                <w:bCs/>
                <w:sz w:val="18"/>
                <w:szCs w:val="18"/>
              </w:rPr>
              <w:t xml:space="preserve">33</w:t>
            </w:r>
          </w:p>
        </w:tc>
      </w:tr>
    </w:tbl>
    <w:p>
      <w:pPr>
        <w:spacing w:after="120"/>
      </w:pPr>
    </w:p>
    <w:p>
      <w:pPr>
        <w:pStyle w:val="Heading2"/>
        <w:keepNext/>
      </w:pPr>
      <w:r>
        <w:t xml:space="preserve">9.3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Resource</w:t>
            </w:r>
          </w:p>
        </w:tc>
        <w:tc>
          <w:tcPr>
            <w:tcW w:type="dxa" w:w="71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Detail</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Software</w:t>
            </w:r>
          </w:p>
        </w:tc>
        <w:tc>
          <w:tcPr>
            <w:tcW w:type="dxa" w:w="71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Microsoft Excel (365 recommended for dynamic arrays, Power Query and Power Pivot). Enable the Data Analysis ToolPak and Solver add-ins.</w:t>
            </w:r>
          </w:p>
        </w:tc>
      </w:tr>
      <w:tr>
        <w:trPr>
          <w:cantSplit/>
        </w:trPr>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Data</w:t>
            </w:r>
          </w:p>
        </w:tc>
        <w:tc>
          <w:tcPr>
            <w:tcW w:type="dxa" w:w="71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Five free public sources listed in Section 4. All are downloadable as CSV or XLSX.</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People</w:t>
            </w:r>
          </w:p>
        </w:tc>
        <w:tc>
          <w:tcPr>
            <w:tcW w:type="dxa" w:w="71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One analyst (me), plus a peer or mentor for a review in Phase 8.</w:t>
            </w:r>
          </w:p>
        </w:tc>
      </w:tr>
      <w:tr>
        <w:trPr>
          <w:cantSplit/>
        </w:trPr>
        <w:tc>
          <w:tcPr>
            <w:tcW w:type="dxa" w:w="25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Documentation</w:t>
            </w:r>
          </w:p>
        </w:tc>
        <w:tc>
          <w:tcPr>
            <w:tcW w:type="dxa" w:w="71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README and Log sheets inside the workbook, with this plan as the governing document.</w:t>
            </w:r>
          </w:p>
        </w:tc>
      </w:tr>
      <w:tr>
        <w:trPr>
          <w:cantSplit/>
        </w:trPr>
        <w:tc>
          <w:tcPr>
            <w:tcW w:type="dxa" w:w="2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Cost</w:t>
            </w:r>
          </w:p>
        </w:tc>
        <w:tc>
          <w:tcPr>
            <w:tcW w:type="dxa" w:w="71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No data or licensing cost.</w:t>
            </w:r>
          </w:p>
        </w:tc>
      </w:tr>
    </w:tbl>
    <w:p>
      <w:pPr>
        <w:pStyle w:val="Heading1"/>
        <w:keepNext/>
      </w:pPr>
      <w:r>
        <w:t xml:space="preserve">10. Risk Assessment</w:t>
      </w:r>
    </w:p>
    <w:p>
      <w:pPr>
        <w:spacing w:after="120" w:before="0" w:line="276"/>
      </w:pPr>
      <w:r>
        <w:t xml:space="preserve">Each risk is scored for likelihood (L) and impact (I) on a 1 to 3 scale. Priority = L x I, so anything scoring 6 or more gets an active mitigation from day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00"/>
        <w:gridCol w:w="1000"/>
        <w:gridCol w:w="5238"/>
      </w:tblGrid>
      <w:tr>
        <w:trPr>
          <w:tblHeader/>
        </w:trPr>
        <w:tc>
          <w:tcPr>
            <w:tcW w:type="dxa" w:w="22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Risk</w:t>
            </w: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jc w:val="center"/>
            </w:pPr>
            <w:r>
              <w:rPr>
                <w:b/>
                <w:bCs/>
                <w:color w:val="FFFFFF"/>
                <w:sz w:val="20"/>
                <w:szCs w:val="20"/>
              </w:rPr>
              <w:t xml:space="preserve">L</w:t>
            </w:r>
          </w:p>
        </w:tc>
        <w:tc>
          <w:tcPr>
            <w:tcW w:type="dxa" w:w="6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jc w:val="center"/>
            </w:pPr>
            <w:r>
              <w:rPr>
                <w:b/>
                <w:bCs/>
                <w:color w:val="FFFFFF"/>
                <w:sz w:val="20"/>
                <w:szCs w:val="20"/>
              </w:rPr>
              <w:t xml:space="preserve">I</w:t>
            </w:r>
          </w:p>
        </w:tc>
        <w:tc>
          <w:tcPr>
            <w:tcW w:type="dxa" w:w="10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jc w:val="center"/>
            </w:pPr>
            <w:r>
              <w:rPr>
                <w:b/>
                <w:bCs/>
                <w:color w:val="FFFFFF"/>
                <w:sz w:val="20"/>
                <w:szCs w:val="20"/>
              </w:rPr>
              <w:t xml:space="preserve">Priority</w:t>
            </w:r>
          </w:p>
        </w:tc>
        <w:tc>
          <w:tcPr>
            <w:tcW w:type="dxa" w:w="52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Mitigation</w:t>
            </w:r>
          </w:p>
        </w:tc>
      </w:tr>
      <w:tr>
        <w:trPr>
          <w:cantSplit/>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Inconsistent definitions across sources</w:t>
            </w: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20"/>
                <w:szCs w:val="20"/>
              </w:rPr>
              <w:t xml:space="preserve">3</w:t>
            </w: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20"/>
                <w:szCs w:val="20"/>
              </w:rPr>
              <w:t xml:space="preserve">3</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b/>
                <w:bCs/>
                <w:sz w:val="20"/>
                <w:szCs w:val="20"/>
              </w:rPr>
              <w:t xml:space="preserve">9</w:t>
            </w:r>
          </w:p>
        </w:tc>
        <w:tc>
          <w:tcPr>
            <w:tcW w:type="dxa" w:w="52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Build the category mapping table early, document every assumption, and compare at index level (growth and ratios) as well as at absolute level.</w:t>
            </w:r>
          </w:p>
        </w:tc>
      </w:tr>
      <w:tr>
        <w:trPr>
          <w:cantSplit/>
        </w:trPr>
        <w:tc>
          <w:tcPr>
            <w:tcW w:type="dxa" w:w="2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Missing or delayed data</w:t>
            </w:r>
          </w:p>
        </w:tc>
        <w:tc>
          <w:tcPr>
            <w:tcW w:type="dxa" w:w="6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20"/>
                <w:szCs w:val="20"/>
              </w:rPr>
              <w:t xml:space="preserve">3</w:t>
            </w:r>
          </w:p>
        </w:tc>
        <w:tc>
          <w:tcPr>
            <w:tcW w:type="dxa" w:w="6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20"/>
                <w:szCs w:val="20"/>
              </w:rPr>
              <w:t xml:space="preserve">2</w:t>
            </w:r>
          </w:p>
        </w:tc>
        <w:tc>
          <w:tcPr>
            <w:tcW w:type="dxa" w:w="1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b/>
                <w:bCs/>
                <w:sz w:val="20"/>
                <w:szCs w:val="20"/>
              </w:rPr>
              <w:t xml:space="preserve">6</w:t>
            </w:r>
          </w:p>
        </w:tc>
        <w:tc>
          <w:tcPr>
            <w:tcW w:type="dxa" w:w="52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Set a 5% completeness threshold (CCP1), use documented interpolation only for short gaps, and exclude series that fail rather than guess.</w:t>
            </w:r>
          </w:p>
        </w:tc>
      </w:tr>
      <w:tr>
        <w:trPr>
          <w:cantSplit/>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Source data revised after download</w:t>
            </w: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20"/>
                <w:szCs w:val="20"/>
              </w:rPr>
              <w:t xml:space="preserve">3</w:t>
            </w: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20"/>
                <w:szCs w:val="20"/>
              </w:rPr>
              <w:t xml:space="preserve">2</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b/>
                <w:bCs/>
                <w:sz w:val="20"/>
                <w:szCs w:val="20"/>
              </w:rPr>
              <w:t xml:space="preserve">6</w:t>
            </w:r>
          </w:p>
        </w:tc>
        <w:tc>
          <w:tcPr>
            <w:tcW w:type="dxa" w:w="52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Date-stamp every download (CCP4) and re-pull headline series before the final report. FAO's 2025 cereal forecast moved +3.8% between briefs, so revisions are normal and should be expected.</w:t>
            </w:r>
          </w:p>
        </w:tc>
      </w:tr>
      <w:tr>
        <w:trPr>
          <w:cantSplit/>
        </w:trPr>
        <w:tc>
          <w:tcPr>
            <w:tcW w:type="dxa" w:w="2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Spreadsheet formula errors</w:t>
            </w:r>
          </w:p>
        </w:tc>
        <w:tc>
          <w:tcPr>
            <w:tcW w:type="dxa" w:w="6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20"/>
                <w:szCs w:val="20"/>
              </w:rPr>
              <w:t xml:space="preserve">2</w:t>
            </w:r>
          </w:p>
        </w:tc>
        <w:tc>
          <w:tcPr>
            <w:tcW w:type="dxa" w:w="6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20"/>
                <w:szCs w:val="20"/>
              </w:rPr>
              <w:t xml:space="preserve">3</w:t>
            </w:r>
          </w:p>
        </w:tc>
        <w:tc>
          <w:tcPr>
            <w:tcW w:type="dxa" w:w="1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b/>
                <w:bCs/>
                <w:sz w:val="20"/>
                <w:szCs w:val="20"/>
              </w:rPr>
              <w:t xml:space="preserve">6</w:t>
            </w:r>
          </w:p>
        </w:tc>
        <w:tc>
          <w:tcPr>
            <w:tcW w:type="dxa" w:w="52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Use Tables and named ranges, separate inputs from calculations, add check cells, and have a peer audit in Phase 8.</w:t>
            </w:r>
          </w:p>
        </w:tc>
      </w:tr>
      <w:tr>
        <w:trPr>
          <w:cantSplit/>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Large files slow Excel</w:t>
            </w: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20"/>
                <w:szCs w:val="20"/>
              </w:rPr>
              <w:t xml:space="preserve">2</w:t>
            </w: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20"/>
                <w:szCs w:val="20"/>
              </w:rPr>
              <w:t xml:space="preserve">2</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20"/>
                <w:szCs w:val="20"/>
              </w:rPr>
              <w:t xml:space="preserve">4</w:t>
            </w:r>
          </w:p>
        </w:tc>
        <w:tc>
          <w:tcPr>
            <w:tcW w:type="dxa" w:w="52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Filter and aggregate in Power Query before loading, and use the Data Model rather than raw sheets for big tables.</w:t>
            </w:r>
          </w:p>
        </w:tc>
      </w:tr>
      <w:tr>
        <w:trPr>
          <w:cantSplit/>
        </w:trPr>
        <w:tc>
          <w:tcPr>
            <w:tcW w:type="dxa" w:w="2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Currency and inflation distortions</w:t>
            </w:r>
          </w:p>
        </w:tc>
        <w:tc>
          <w:tcPr>
            <w:tcW w:type="dxa" w:w="6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20"/>
                <w:szCs w:val="20"/>
              </w:rPr>
              <w:t xml:space="preserve">2</w:t>
            </w:r>
          </w:p>
        </w:tc>
        <w:tc>
          <w:tcPr>
            <w:tcW w:type="dxa" w:w="6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20"/>
                <w:szCs w:val="20"/>
              </w:rPr>
              <w:t xml:space="preserve">3</w:t>
            </w:r>
          </w:p>
        </w:tc>
        <w:tc>
          <w:tcPr>
            <w:tcW w:type="dxa" w:w="1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b/>
                <w:bCs/>
                <w:sz w:val="20"/>
                <w:szCs w:val="20"/>
              </w:rPr>
              <w:t xml:space="preserve">6</w:t>
            </w:r>
          </w:p>
        </w:tc>
        <w:tc>
          <w:tcPr>
            <w:tcW w:type="dxa" w:w="52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Convert to a single currency, use real (inflation-adjusted) values for trend analysis, and note the base year.</w:t>
            </w:r>
          </w:p>
        </w:tc>
      </w:tr>
      <w:tr>
        <w:trPr>
          <w:cantSplit/>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Over-reading correlations</w:t>
            </w: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20"/>
                <w:szCs w:val="20"/>
              </w:rPr>
              <w:t xml:space="preserve">2</w:t>
            </w: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20"/>
                <w:szCs w:val="20"/>
              </w:rPr>
              <w:t xml:space="preserve">3</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b/>
                <w:bCs/>
                <w:sz w:val="20"/>
                <w:szCs w:val="20"/>
              </w:rPr>
              <w:t xml:space="preserve">6</w:t>
            </w:r>
          </w:p>
        </w:tc>
        <w:tc>
          <w:tcPr>
            <w:tcW w:type="dxa" w:w="52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State findings as evidence, not proof. Check the lags, test with more than one source and show the r-squared.</w:t>
            </w:r>
          </w:p>
        </w:tc>
      </w:tr>
      <w:tr>
        <w:trPr>
          <w:cantSplit/>
        </w:trPr>
        <w:tc>
          <w:tcPr>
            <w:tcW w:type="dxa" w:w="2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Scope creep</w:t>
            </w:r>
          </w:p>
        </w:tc>
        <w:tc>
          <w:tcPr>
            <w:tcW w:type="dxa" w:w="6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20"/>
                <w:szCs w:val="20"/>
              </w:rPr>
              <w:t xml:space="preserve">2</w:t>
            </w:r>
          </w:p>
        </w:tc>
        <w:tc>
          <w:tcPr>
            <w:tcW w:type="dxa" w:w="6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20"/>
                <w:szCs w:val="20"/>
              </w:rPr>
              <w:t xml:space="preserve">2</w:t>
            </w:r>
          </w:p>
        </w:tc>
        <w:tc>
          <w:tcPr>
            <w:tcW w:type="dxa" w:w="1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20"/>
                <w:szCs w:val="20"/>
              </w:rPr>
              <w:t xml:space="preserve">4</w:t>
            </w:r>
          </w:p>
        </w:tc>
        <w:tc>
          <w:tcPr>
            <w:tcW w:type="dxa" w:w="52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Hold to the five questions and five sources. Park extra ideas in a "Phase 2 ideas" list.</w:t>
            </w:r>
          </w:p>
        </w:tc>
      </w:tr>
      <w:tr>
        <w:trPr>
          <w:cantSplit/>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Time overrun</w:t>
            </w: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20"/>
                <w:szCs w:val="20"/>
              </w:rPr>
              <w:t xml:space="preserve">2</w:t>
            </w:r>
          </w:p>
        </w:tc>
        <w:tc>
          <w:tcPr>
            <w:tcW w:type="dxa" w:w="6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20"/>
                <w:szCs w:val="20"/>
              </w:rPr>
              <w:t xml:space="preserve">2</w:t>
            </w:r>
          </w:p>
        </w:tc>
        <w:tc>
          <w:tcPr>
            <w:tcW w:type="dxa" w:w="1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jc w:val="center"/>
            </w:pPr>
            <w:r>
              <w:rPr>
                <w:sz w:val="20"/>
                <w:szCs w:val="20"/>
              </w:rPr>
              <w:t xml:space="preserve">4</w:t>
            </w:r>
          </w:p>
        </w:tc>
        <w:tc>
          <w:tcPr>
            <w:tcW w:type="dxa" w:w="52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Use the 2-hour buffer, timebox each phase, and cut dashboard extras before cutting quality checks.</w:t>
            </w:r>
          </w:p>
        </w:tc>
      </w:tr>
      <w:tr>
        <w:trPr>
          <w:cantSplit/>
        </w:trPr>
        <w:tc>
          <w:tcPr>
            <w:tcW w:type="dxa" w:w="2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Data licence or access changes</w:t>
            </w:r>
          </w:p>
        </w:tc>
        <w:tc>
          <w:tcPr>
            <w:tcW w:type="dxa" w:w="6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20"/>
                <w:szCs w:val="20"/>
              </w:rPr>
              <w:t xml:space="preserve">1</w:t>
            </w:r>
          </w:p>
        </w:tc>
        <w:tc>
          <w:tcPr>
            <w:tcW w:type="dxa" w:w="6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20"/>
                <w:szCs w:val="20"/>
              </w:rPr>
              <w:t xml:space="preserve">2</w:t>
            </w:r>
          </w:p>
        </w:tc>
        <w:tc>
          <w:tcPr>
            <w:tcW w:type="dxa" w:w="10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jc w:val="center"/>
            </w:pPr>
            <w:r>
              <w:rPr>
                <w:sz w:val="20"/>
                <w:szCs w:val="20"/>
              </w:rPr>
              <w:t xml:space="preserve">2</w:t>
            </w:r>
          </w:p>
        </w:tc>
        <w:tc>
          <w:tcPr>
            <w:tcW w:type="dxa" w:w="52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Keep a dated copy of each download in the workbook and note the licence terms in the README.</w:t>
            </w:r>
          </w:p>
        </w:tc>
      </w:tr>
    </w:tbl>
    <w:p>
      <w:pPr>
        <w:pStyle w:val="Heading1"/>
        <w:keepNext/>
      </w:pPr>
      <w:r>
        <w:t xml:space="preserve">11. Expected Outcomes and Success Criteria</w:t>
      </w:r>
    </w:p>
    <w:p>
      <w:pPr>
        <w:pStyle w:val="Heading2"/>
        <w:keepNext/>
      </w:pPr>
      <w:r>
        <w:t xml:space="preserve">11.1 What the finished project will deliver</w:t>
      </w:r>
    </w:p>
    <w:p>
      <w:pPr>
        <w:pStyle w:val="ListParagraph"/>
        <w:numPr>
          <w:ilvl w:val="0"/>
          <w:numId w:val="2"/>
        </w:numPr>
        <w:spacing w:after="60" w:line="276"/>
      </w:pPr>
      <w:r>
        <w:t xml:space="preserve">A single, documented Excel workbook that anyone can refresh with new data.</w:t>
      </w:r>
    </w:p>
    <w:p>
      <w:pPr>
        <w:pStyle w:val="ListParagraph"/>
        <w:numPr>
          <w:ilvl w:val="0"/>
          <w:numId w:val="2"/>
        </w:numPr>
        <w:spacing w:after="60" w:line="276"/>
      </w:pPr>
      <w:r>
        <w:t xml:space="preserve">A Production Efficiency Index that ranks segments and years transparently.</w:t>
      </w:r>
    </w:p>
    <w:p>
      <w:pPr>
        <w:pStyle w:val="ListParagraph"/>
        <w:numPr>
          <w:ilvl w:val="0"/>
          <w:numId w:val="2"/>
        </w:numPr>
        <w:spacing w:after="60" w:line="276"/>
      </w:pPr>
      <w:r>
        <w:t xml:space="preserve">A clear verdict (supported, partly supported, not supported) on each of the four hypotheses.</w:t>
      </w:r>
    </w:p>
    <w:p>
      <w:pPr>
        <w:pStyle w:val="ListParagraph"/>
        <w:numPr>
          <w:ilvl w:val="0"/>
          <w:numId w:val="2"/>
        </w:numPr>
        <w:spacing w:after="60" w:line="276"/>
      </w:pPr>
      <w:r>
        <w:t xml:space="preserve">An interactive dashboard and five or more recommendations, each with a what-if value.</w:t>
      </w:r>
    </w:p>
    <w:p>
      <w:pPr>
        <w:pStyle w:val="Heading2"/>
        <w:keepNext/>
      </w:pPr>
      <w:r>
        <w:t xml:space="preserve">11.2 How success will be judged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Criterion</w:t>
            </w:r>
          </w:p>
        </w:tc>
        <w:tc>
          <w:tcPr>
            <w:tcW w:type="dxa" w:w="73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Test</w:t>
            </w:r>
          </w:p>
        </w:tc>
      </w:tr>
      <w:tr>
        <w:trPr>
          <w:cantSplit/>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Comprehensive</w:t>
            </w:r>
          </w:p>
        </w:tc>
        <w:tc>
          <w:tcPr>
            <w:tcW w:type="dxa" w:w="73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Every research question is answered with data from at least two sources, and every objective has a visible output.</w:t>
            </w:r>
          </w:p>
        </w:tc>
      </w:tr>
      <w:tr>
        <w:trPr>
          <w:cantSplit/>
        </w:trPr>
        <w:tc>
          <w:tcPr>
            <w:tcW w:type="dxa" w:w="23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Relevant</w:t>
            </w:r>
          </w:p>
        </w:tc>
        <w:tc>
          <w:tcPr>
            <w:tcW w:type="dxa" w:w="73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Every tab and technique ties back to food processing efficiency and a named question.</w:t>
            </w:r>
          </w:p>
        </w:tc>
      </w:tr>
      <w:tr>
        <w:trPr>
          <w:cantSplit/>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Clear</w:t>
            </w:r>
          </w:p>
        </w:tc>
        <w:tc>
          <w:tcPr>
            <w:tcW w:type="dxa" w:w="73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A reader can follow the logic from question to method to result without a guide, and the dashboard can be understood in under two minutes.</w:t>
            </w:r>
          </w:p>
        </w:tc>
      </w:tr>
      <w:tr>
        <w:trPr>
          <w:cantSplit/>
        </w:trPr>
        <w:tc>
          <w:tcPr>
            <w:tcW w:type="dxa" w:w="23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Original</w:t>
            </w:r>
          </w:p>
        </w:tc>
        <w:tc>
          <w:tcPr>
            <w:tcW w:type="dxa" w:w="73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HACCP-style data gates, a custom efficiency index, a fictional virtual plant benchmarked against real data, and what-if valuation of every recommendation.</w:t>
            </w:r>
          </w:p>
        </w:tc>
      </w:tr>
      <w:tr>
        <w:trPr>
          <w:cantSplit/>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Reproducible</w:t>
            </w:r>
          </w:p>
        </w:tc>
        <w:tc>
          <w:tcPr>
            <w:tcW w:type="dxa" w:w="73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Refreshing Power Query with new data updates every table and chart without manual repair.</w:t>
            </w:r>
          </w:p>
        </w:tc>
      </w:tr>
    </w:tbl>
    <w:p>
      <w:pPr>
        <w:spacing w:after="120"/>
      </w:pPr>
    </w:p>
    <w:p>
      <w:pPr>
        <w:pStyle w:val="Heading2"/>
        <w:keepNext/>
      </w:pPr>
      <w:r>
        <w:t xml:space="preserve">11.3 Measurable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Target</w:t>
            </w:r>
          </w:p>
        </w:tc>
        <w:tc>
          <w:tcPr>
            <w:tcW w:type="dxa" w:w="54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Measure</w:t>
            </w:r>
          </w:p>
        </w:tc>
      </w:tr>
      <w:tr>
        <w:trPr>
          <w:cantSplit/>
        </w:trPr>
        <w:tc>
          <w:tcPr>
            <w:tcW w:type="dxa" w:w="4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Data coverage</w:t>
            </w:r>
          </w:p>
        </w:tc>
        <w:tc>
          <w:tcPr>
            <w:tcW w:type="dxa" w:w="5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At least 5 sources loaded and at least 10 years of history where available.</w:t>
            </w:r>
          </w:p>
        </w:tc>
      </w:tr>
      <w:tr>
        <w:trPr>
          <w:cantSplit/>
        </w:trPr>
        <w:tc>
          <w:tcPr>
            <w:tcW w:type="dxa" w:w="4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Data quality</w:t>
            </w:r>
          </w:p>
        </w:tc>
        <w:tc>
          <w:tcPr>
            <w:tcW w:type="dxa" w:w="5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Every key column under 5% blanks (CCP1) or documented as excluded; every outlier above |z| = 3 reviewed and logged.</w:t>
            </w:r>
          </w:p>
        </w:tc>
      </w:tr>
      <w:tr>
        <w:trPr>
          <w:cantSplit/>
        </w:trPr>
        <w:tc>
          <w:tcPr>
            <w:tcW w:type="dxa" w:w="4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Transparency</w:t>
            </w:r>
          </w:p>
        </w:tc>
        <w:tc>
          <w:tcPr>
            <w:tcW w:type="dxa" w:w="5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Zero hard-coded numbers in the PEI sheet: all weights and assumptions sit in named input cells.</w:t>
            </w:r>
          </w:p>
        </w:tc>
      </w:tr>
      <w:tr>
        <w:trPr>
          <w:cantSplit/>
        </w:trPr>
        <w:tc>
          <w:tcPr>
            <w:tcW w:type="dxa" w:w="4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Analysis</w:t>
            </w:r>
          </w:p>
        </w:tc>
        <w:tc>
          <w:tcPr>
            <w:tcW w:type="dxa" w:w="5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Four hypotheses each given a verdict against a pre-set rule; six research questions each answered with a chart or table.</w:t>
            </w:r>
          </w:p>
        </w:tc>
      </w:tr>
      <w:tr>
        <w:trPr>
          <w:cantSplit/>
        </w:trPr>
        <w:tc>
          <w:tcPr>
            <w:tcW w:type="dxa" w:w="4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Recommendations</w:t>
            </w:r>
          </w:p>
        </w:tc>
        <w:tc>
          <w:tcPr>
            <w:tcW w:type="dxa" w:w="5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At least five, each with a what-if value (for example, an annual saving or a PEI change).</w:t>
            </w:r>
          </w:p>
        </w:tc>
      </w:tr>
      <w:tr>
        <w:trPr>
          <w:cantSplit/>
        </w:trPr>
        <w:tc>
          <w:tcPr>
            <w:tcW w:type="dxa" w:w="4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Effort</w:t>
            </w:r>
          </w:p>
        </w:tc>
        <w:tc>
          <w:tcPr>
            <w:tcW w:type="dxa" w:w="5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Total between 30 and 35 hours, with the 2-hour buffer unspent or documented.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833A" w:sz="24"/>
              <w:bottom w:val="none" w:color="FFFFFF" w:sz="0"/>
              <w:right w:val="none" w:color="FFFFFF" w:sz="0"/>
            </w:tcBorders>
            <w:shd w:fill="FFF6E5" w:color="auto" w:val="clear"/>
            <w:tcMar>
              <w:top w:type="dxa" w:w="120"/>
              <w:left w:type="dxa" w:w="200"/>
              <w:bottom w:type="dxa" w:w="100"/>
              <w:right w:type="dxa" w:w="160"/>
            </w:tcMar>
          </w:tcPr>
          <w:p>
            <w:pPr>
              <w:spacing w:after="60"/>
            </w:pPr>
            <w:r>
              <w:rPr>
                <w:b/>
                <w:bCs/>
                <w:color w:val="C4651C"/>
                <w:sz w:val="22"/>
                <w:szCs w:val="22"/>
              </w:rPr>
              <w:t xml:space="preserve">Closing thought</w:t>
            </w:r>
          </w:p>
          <w:p>
            <w:pPr>
              <w:spacing w:after="50"/>
            </w:pPr>
            <w:r>
              <w:rPr>
                <w:sz w:val="20"/>
                <w:szCs w:val="20"/>
              </w:rPr>
              <w:t xml:space="preserve">Good analysis planning is a recipe, not a guess: know what you are cooking (objectives), what goes into it (data), how you will prepare it (method), how long it takes (timeline), and what could burn (risks). This plan puts all five on the table before the first formula is typed.</w:t>
            </w:r>
          </w:p>
        </w:tc>
      </w:tr>
    </w:tbl>
    <w:p>
      <w:pPr>
        <w:pStyle w:val="Heading1"/>
        <w:keepNext/>
      </w:pPr>
      <w:r>
        <w:t xml:space="preserve">Appendix: Workbook Blueprint</w:t>
      </w:r>
    </w:p>
    <w:p>
      <w:pPr>
        <w:spacing w:after="120" w:before="0" w:line="276"/>
      </w:pPr>
      <w:r>
        <w:t xml:space="preserve">The planned structure of the Excel file, so the build stays organised from day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Sheet</w:t>
            </w:r>
          </w:p>
        </w:tc>
        <w:tc>
          <w:tcPr>
            <w:tcW w:type="dxa" w:w="7438"/>
            <w:tcBorders>
              <w:top w:val="single" w:color="CCCCCC" w:sz="4"/>
              <w:left w:val="single" w:color="CCCCCC" w:sz="4"/>
              <w:bottom w:val="single" w:color="CCCCCC" w:sz="4"/>
              <w:right w:val="single" w:color="CCCCCC" w:sz="4"/>
            </w:tcBorders>
            <w:shd w:fill="1F5F3A" w:color="auto" w:val="clear"/>
            <w:tcMar>
              <w:top w:type="dxa" w:w="70"/>
              <w:left w:type="dxa" w:w="110"/>
              <w:bottom w:type="dxa" w:w="70"/>
              <w:right w:type="dxa" w:w="110"/>
            </w:tcMar>
            <w:vAlign w:val="top"/>
          </w:tcPr>
          <w:p>
            <w:pPr>
              <w:spacing w:after="40"/>
            </w:pPr>
            <w:r>
              <w:rPr>
                <w:b/>
                <w:bCs/>
                <w:color w:val="FFFFFF"/>
                <w:sz w:val="20"/>
                <w:szCs w:val="20"/>
              </w:rPr>
              <w:t xml:space="preserve">Purpose</w:t>
            </w:r>
          </w:p>
        </w:tc>
      </w:tr>
      <w:tr>
        <w:trPr>
          <w:cantSplit/>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README</w:t>
            </w:r>
          </w:p>
        </w:tc>
        <w:tc>
          <w:tcPr>
            <w:tcW w:type="dxa" w:w="7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Project summary, source list with dates and licences, sheet guide, and version notes.</w:t>
            </w:r>
          </w:p>
        </w:tc>
      </w:tr>
      <w:tr>
        <w:trPr>
          <w:cantSplit/>
        </w:trPr>
        <w:tc>
          <w:tcPr>
            <w:tcW w:type="dxa" w:w="2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Assumptions</w:t>
            </w:r>
          </w:p>
        </w:tc>
        <w:tc>
          <w:tcPr>
            <w:tcW w:type="dxa" w:w="7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PEI weights, base year, currency rates and scenario inputs, all as named cells with data validation.</w:t>
            </w:r>
          </w:p>
        </w:tc>
      </w:tr>
      <w:tr>
        <w:trPr>
          <w:cantSplit/>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Raw_FAO / Raw_ASM / Raw_ASI / Raw_EU / Raw_OFF</w:t>
            </w:r>
          </w:p>
        </w:tc>
        <w:tc>
          <w:tcPr>
            <w:tcW w:type="dxa" w:w="7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Untouched downloads, one sheet per source. Never edited by hand.</w:t>
            </w:r>
          </w:p>
        </w:tc>
      </w:tr>
      <w:tr>
        <w:trPr>
          <w:cantSplit/>
        </w:trPr>
        <w:tc>
          <w:tcPr>
            <w:tcW w:type="dxa" w:w="2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Map</w:t>
            </w:r>
          </w:p>
        </w:tc>
        <w:tc>
          <w:tcPr>
            <w:tcW w:type="dxa" w:w="7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Lookup tables that map categories, countries and units across sources.</w:t>
            </w:r>
          </w:p>
        </w:tc>
      </w:tr>
      <w:tr>
        <w:trPr>
          <w:cantSplit/>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Master</w:t>
            </w:r>
          </w:p>
        </w:tc>
        <w:tc>
          <w:tcPr>
            <w:tcW w:type="dxa" w:w="7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Clean, merged Excel Table keyed by Year, Region and Segment.</w:t>
            </w:r>
          </w:p>
        </w:tc>
      </w:tr>
      <w:tr>
        <w:trPr>
          <w:cantSplit/>
        </w:trPr>
        <w:tc>
          <w:tcPr>
            <w:tcW w:type="dxa" w:w="2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Calc_PEI</w:t>
            </w:r>
          </w:p>
        </w:tc>
        <w:tc>
          <w:tcPr>
            <w:tcW w:type="dxa" w:w="7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Indicators, normalisation and the Production Efficiency Index.</w:t>
            </w:r>
          </w:p>
        </w:tc>
      </w:tr>
      <w:tr>
        <w:trPr>
          <w:cantSplit/>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Tests</w:t>
            </w:r>
          </w:p>
        </w:tc>
        <w:tc>
          <w:tcPr>
            <w:tcW w:type="dxa" w:w="7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Correlation, regression, lag analysis, and hypothesis verdicts.</w:t>
            </w:r>
          </w:p>
        </w:tc>
      </w:tr>
      <w:tr>
        <w:trPr>
          <w:cantSplit/>
        </w:trPr>
        <w:tc>
          <w:tcPr>
            <w:tcW w:type="dxa" w:w="2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Scenarios</w:t>
            </w:r>
          </w:p>
        </w:tc>
        <w:tc>
          <w:tcPr>
            <w:tcW w:type="dxa" w:w="7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Forecasts, Data Tables, Goal Seek and Solver what-if models.</w:t>
            </w:r>
          </w:p>
        </w:tc>
      </w:tr>
      <w:tr>
        <w:trPr>
          <w:cantSplit/>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Pivots</w:t>
            </w:r>
          </w:p>
        </w:tc>
        <w:tc>
          <w:tcPr>
            <w:tcW w:type="dxa" w:w="7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PivotTables and PivotCharts feeding the dashboard.</w:t>
            </w:r>
          </w:p>
        </w:tc>
      </w:tr>
      <w:tr>
        <w:trPr>
          <w:cantSplit/>
        </w:trPr>
        <w:tc>
          <w:tcPr>
            <w:tcW w:type="dxa" w:w="2200"/>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b/>
                <w:bCs/>
                <w:sz w:val="20"/>
                <w:szCs w:val="20"/>
              </w:rPr>
              <w:t xml:space="preserve">Dashboard</w:t>
            </w:r>
          </w:p>
        </w:tc>
        <w:tc>
          <w:tcPr>
            <w:tcW w:type="dxa" w:w="7438"/>
            <w:tcBorders>
              <w:top w:val="single" w:color="CCCCCC" w:sz="4"/>
              <w:left w:val="single" w:color="CCCCCC" w:sz="4"/>
              <w:bottom w:val="single" w:color="CCCCCC" w:sz="4"/>
              <w:right w:val="single" w:color="CCCCCC" w:sz="4"/>
            </w:tcBorders>
            <w:shd w:fill="F7FAF8" w:color="auto" w:val="clear"/>
            <w:tcMar>
              <w:top w:type="dxa" w:w="70"/>
              <w:left w:type="dxa" w:w="110"/>
              <w:bottom w:type="dxa" w:w="70"/>
              <w:right w:type="dxa" w:w="110"/>
            </w:tcMar>
            <w:vAlign w:val="top"/>
          </w:tcPr>
          <w:p>
            <w:pPr>
              <w:spacing w:after="40"/>
            </w:pPr>
            <w:r>
              <w:rPr>
                <w:sz w:val="20"/>
                <w:szCs w:val="20"/>
              </w:rPr>
              <w:t xml:space="preserve">KPI cards, slicers, charts and heat map, presented for the reader.</w:t>
            </w:r>
          </w:p>
        </w:tc>
      </w:tr>
      <w:tr>
        <w:trPr>
          <w:cantSplit/>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b/>
                <w:bCs/>
                <w:sz w:val="20"/>
                <w:szCs w:val="20"/>
              </w:rPr>
              <w:t xml:space="preserve">Log</w:t>
            </w:r>
          </w:p>
        </w:tc>
        <w:tc>
          <w:tcPr>
            <w:tcW w:type="dxa" w:w="7438"/>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40"/>
            </w:pPr>
            <w:r>
              <w:rPr>
                <w:sz w:val="20"/>
                <w:szCs w:val="20"/>
              </w:rPr>
              <w:t xml:space="preserve">Data-quality gate results and a record of every data decision.</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7"/>
        <w:szCs w:val="17"/>
      </w:rPr>
      <w:t xml:space="preserve">Ayush Yadav  |  Page </w:t>
    </w:r>
    <w:r>
      <w:rPr>
        <w:color w:val="555555"/>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7"/>
        <w:szCs w:val="17"/>
      </w:rPr>
      <w:t xml:space="preserve">Project FOODFLOW  |  Data Analysis Strategy &amp; Planning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6"/>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833A" w:sz="8" w:space="4"/>
      </w:pBdr>
      <w:spacing w:after="140" w:before="360"/>
      <w:outlineLvl w:val="0"/>
    </w:pPr>
    <w:rPr>
      <w:rFonts w:ascii="Calibri" w:cs="Calibri" w:eastAsia="Calibri" w:hAnsi="Calibri"/>
      <w:b/>
      <w:bCs/>
      <w:color w:val="1F5F3A"/>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C4651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FOODFLOW: Data Analysis Strategy and Plan</dc:title>
  <dc:creator>Ayush Yadav</dc:creator>
  <cp:lastModifiedBy>Un-named</cp:lastModifiedBy>
  <cp:revision>1</cp:revision>
  <dcterms:created xsi:type="dcterms:W3CDTF">2026-10-16T06:25:30.755Z</dcterms:created>
  <dcterms:modified xsi:type="dcterms:W3CDTF">2026-10-16T06:25:30.755Z</dcterms:modified>
</cp:coreProperties>
</file>

<file path=docProps/custom.xml><?xml version="1.0" encoding="utf-8"?>
<Properties xmlns="http://schemas.openxmlformats.org/officeDocument/2006/custom-properties" xmlns:vt="http://schemas.openxmlformats.org/officeDocument/2006/docPropsVTypes"/>
</file>