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NATIONAL CRITICAL INFRASTRUCTURE PROTECTION AGENCY (NCIPA)</w:t>
        <w:br/>
      </w:r>
      <w:r>
        <w:rPr>
          <w:color w:val="475569"/>
          <w:sz w:val="22"/>
        </w:rPr>
        <w:t>Incident Investigation Report: Operation BlackEcho (INC-88412)</w:t>
        <w:br/>
        <w:t>TLP:AMBER | Public Sector Resilience Assessment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Incident Timeline</w:t>
      </w:r>
    </w:p>
    <w:p>
      <w:r>
        <w:t>On August 14, 2026, at approximately 02:41 UTC, the Central Operations Security Center (COSC) detected anomalous outbound traffic originating from core telemetry gateway servers in Cluster Delta-7. Subsequent forensic analysis confirmed unauthorized access by state-nexus threat group APT-39 (SilentHydra). The attack led to the compromise of 14 core supervisory control nodes and the exfiltration of 450 GB of operational telemetry archives.</w:t>
      </w:r>
    </w:p>
    <w:p>
      <w:pPr>
        <w:pStyle w:val="Heading2"/>
      </w:pPr>
      <w:r>
        <w:t>Key Incident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Incident Identifier</w:t>
            </w:r>
          </w:p>
        </w:tc>
        <w:tc>
          <w:tcPr>
            <w:tcW w:type="dxa" w:w="4320"/>
          </w:tcPr>
          <w:p>
            <w:r>
              <w:t>INC-88412 (Operation BlackEcho)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Initial Incursion</w:t>
            </w:r>
          </w:p>
        </w:tc>
        <w:tc>
          <w:tcPr>
            <w:tcW w:type="dxa" w:w="4320"/>
          </w:tcPr>
          <w:p>
            <w:r>
              <w:t>August 14, 2026 (02:41 UTC)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Compromised Infrastructure</w:t>
            </w:r>
          </w:p>
        </w:tc>
        <w:tc>
          <w:tcPr>
            <w:tcW w:type="dxa" w:w="4320"/>
          </w:tcPr>
          <w:p>
            <w:r>
              <w:t>14 Telemetry &amp; SCADA Gateway Servers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Exfiltrated</w:t>
            </w:r>
          </w:p>
        </w:tc>
        <w:tc>
          <w:tcPr>
            <w:tcW w:type="dxa" w:w="4320"/>
          </w:tcPr>
          <w:p>
            <w:r>
              <w:t>450 Gigabytes of telemetry archives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Interruption</w:t>
            </w:r>
          </w:p>
        </w:tc>
        <w:tc>
          <w:tcPr>
            <w:tcW w:type="dxa" w:w="4320"/>
          </w:tcPr>
          <w:p>
            <w:r>
              <w:t>4 hours 18 minutes partial telemetry blackout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Estimated Financial Exposure</w:t>
            </w:r>
          </w:p>
        </w:tc>
        <w:tc>
          <w:tcPr>
            <w:tcW w:type="dxa" w:w="4320"/>
          </w:tcPr>
          <w:p>
            <w:r>
              <w:t>$2,850,000 USD (Remediation &amp; Forensic Audits)</w:t>
            </w:r>
          </w:p>
        </w:tc>
      </w:tr>
    </w:tbl>
    <w:p>
      <w:r>
        <w:br w:type="page"/>
      </w:r>
    </w:p>
    <w:p>
      <w:pPr>
        <w:pStyle w:val="Heading1"/>
      </w:pPr>
      <w:r>
        <w:t>2. Technical Root Cause &amp; Attack Vector Analysis</w:t>
      </w:r>
    </w:p>
    <w:p>
      <w:r>
        <w:t>The initial entry point was traced to an external-facing edge bastion host running a vulnerable utility layer. Specifically, the adversaries exploited CVE-2024-3094 (liblzma/XZ Utils backdoor) to establish reverse SSH tunnels bypass perimeter firewalls.</w:t>
      </w:r>
    </w:p>
    <w:p>
      <w:r>
        <w:t>Following initial persistence, the threat actors leveraged CVE-2024-21413 (Microsoft Outlook NTLM Credential Leakage) to harvest service account credentials belonging to svc_telemetry_admin. Privilege escalation was achieved within 38 minutes of landing on the internal subnet.</w:t>
      </w:r>
    </w:p>
    <w:p>
      <w:pPr>
        <w:pStyle w:val="Heading2"/>
      </w:pPr>
      <w:r>
        <w:t>Indicators of Compromise (IoCs)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/ 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Associated Threat Action</w:t>
            </w:r>
          </w:p>
        </w:tc>
      </w:tr>
      <w:tr>
        <w:tc>
          <w:tcPr>
            <w:tcW w:type="dxa" w:w="2880"/>
          </w:tcPr>
          <w:p>
            <w:r>
              <w:t>IPv4 Address</w:t>
            </w:r>
          </w:p>
        </w:tc>
        <w:tc>
          <w:tcPr>
            <w:tcW w:type="dxa" w:w="2880"/>
          </w:tcPr>
          <w:p>
            <w:r>
              <w:t>198.51.100.47</w:t>
            </w:r>
          </w:p>
        </w:tc>
        <w:tc>
          <w:tcPr>
            <w:tcW w:type="dxa" w:w="2880"/>
          </w:tcPr>
          <w:p>
            <w:r>
              <w:t>C2 Command &amp; Control Beacon</w:t>
            </w:r>
          </w:p>
        </w:tc>
      </w:tr>
      <w:tr>
        <w:tc>
          <w:tcPr>
            <w:tcW w:type="dxa" w:w="2880"/>
          </w:tcPr>
          <w:p>
            <w:r>
              <w:t>SHA-256 Hash</w:t>
            </w:r>
          </w:p>
        </w:tc>
        <w:tc>
          <w:tcPr>
            <w:tcW w:type="dxa" w:w="2880"/>
          </w:tcPr>
          <w:p>
            <w:r>
              <w:t>e3b0c44298fc1c149afbf4c8996fb92427ae41e4649b934ca495991b7852b855</w:t>
            </w:r>
          </w:p>
        </w:tc>
        <w:tc>
          <w:tcPr>
            <w:tcW w:type="dxa" w:w="2880"/>
          </w:tcPr>
          <w:p>
            <w:r>
              <w:t>Backdoored liblzma.so.5.6.0 binary</w:t>
            </w:r>
          </w:p>
        </w:tc>
      </w:tr>
      <w:tr>
        <w:tc>
          <w:tcPr>
            <w:tcW w:type="dxa" w:w="2880"/>
          </w:tcPr>
          <w:p>
            <w:r>
              <w:t>Mutual TLS Cert</w:t>
            </w:r>
          </w:p>
        </w:tc>
        <w:tc>
          <w:tcPr>
            <w:tcW w:type="dxa" w:w="2880"/>
          </w:tcPr>
          <w:p>
            <w:r>
              <w:t>CN=telemetry-gateway.internal.bad</w:t>
            </w:r>
          </w:p>
        </w:tc>
        <w:tc>
          <w:tcPr>
            <w:tcW w:type="dxa" w:w="2880"/>
          </w:tcPr>
          <w:p>
            <w:r>
              <w:t>Man-in-the-Middle proxy interception</w:t>
            </w:r>
          </w:p>
        </w:tc>
      </w:tr>
      <w:tr>
        <w:tc>
          <w:tcPr>
            <w:tcW w:type="dxa" w:w="2880"/>
          </w:tcPr>
          <w:p>
            <w:r>
              <w:t>File Path</w:t>
            </w:r>
          </w:p>
        </w:tc>
        <w:tc>
          <w:tcPr>
            <w:tcW w:type="dxa" w:w="2880"/>
          </w:tcPr>
          <w:p>
            <w:r>
              <w:t>/usr/local/bin/.blackecho_agent</w:t>
            </w:r>
          </w:p>
        </w:tc>
        <w:tc>
          <w:tcPr>
            <w:tcW w:type="dxa" w:w="2880"/>
          </w:tcPr>
          <w:p>
            <w:r>
              <w:t>Obfuscated persistence beacon script</w:t>
            </w:r>
          </w:p>
        </w:tc>
      </w:tr>
    </w:tbl>
    <w:p>
      <w:r>
        <w:br w:type="page"/>
      </w:r>
    </w:p>
    <w:p>
      <w:pPr>
        <w:pStyle w:val="Heading1"/>
      </w:pPr>
      <w:r>
        <w:t>3. Affected Systems &amp; Quantitative Impact Assessment</w:t>
      </w:r>
    </w:p>
    <w:p>
      <w:r>
        <w:t>The breach impact was concentrated across the eastern regional operational division. While safety-instrumented systems (SIS) remained isolated via hardware air-gaps, operational visibility was impaired across 3 regional dispatch centers.</w:t>
      </w:r>
    </w:p>
    <w:p>
      <w:pPr>
        <w:pStyle w:val="Heading2"/>
      </w:pPr>
      <w:r>
        <w:t>Impact Breakdown by Facility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Facility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Impacted Nodes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Outage 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Restoration Cost</w:t>
            </w:r>
          </w:p>
        </w:tc>
      </w:tr>
      <w:tr>
        <w:tc>
          <w:tcPr>
            <w:tcW w:type="dxa" w:w="2160"/>
          </w:tcPr>
          <w:p>
            <w:r>
              <w:t>Substation Apex-1</w:t>
            </w:r>
          </w:p>
        </w:tc>
        <w:tc>
          <w:tcPr>
            <w:tcW w:type="dxa" w:w="2160"/>
          </w:tcPr>
          <w:p>
            <w:r>
              <w:t>6 SCADA Nodes</w:t>
            </w:r>
          </w:p>
        </w:tc>
        <w:tc>
          <w:tcPr>
            <w:tcW w:type="dxa" w:w="2160"/>
          </w:tcPr>
          <w:p>
            <w:r>
              <w:t>4h 18m</w:t>
            </w:r>
          </w:p>
        </w:tc>
        <w:tc>
          <w:tcPr>
            <w:tcW w:type="dxa" w:w="2160"/>
          </w:tcPr>
          <w:p>
            <w:r>
              <w:t>$1,120,000 USD</w:t>
            </w:r>
          </w:p>
        </w:tc>
      </w:tr>
      <w:tr>
        <w:tc>
          <w:tcPr>
            <w:tcW w:type="dxa" w:w="2160"/>
          </w:tcPr>
          <w:p>
            <w:r>
              <w:t>Telemetry Relay East</w:t>
            </w:r>
          </w:p>
        </w:tc>
        <w:tc>
          <w:tcPr>
            <w:tcW w:type="dxa" w:w="2160"/>
          </w:tcPr>
          <w:p>
            <w:r>
              <w:t>5 Distribution Relays</w:t>
            </w:r>
          </w:p>
        </w:tc>
        <w:tc>
          <w:tcPr>
            <w:tcW w:type="dxa" w:w="2160"/>
          </w:tcPr>
          <w:p>
            <w:r>
              <w:t>2h 45m</w:t>
            </w:r>
          </w:p>
        </w:tc>
        <w:tc>
          <w:tcPr>
            <w:tcW w:type="dxa" w:w="2160"/>
          </w:tcPr>
          <w:p>
            <w:r>
              <w:t>$890,000 USD</w:t>
            </w:r>
          </w:p>
        </w:tc>
      </w:tr>
      <w:tr>
        <w:tc>
          <w:tcPr>
            <w:tcW w:type="dxa" w:w="2160"/>
          </w:tcPr>
          <w:p>
            <w:r>
              <w:t>Central Dispatch South</w:t>
            </w:r>
          </w:p>
        </w:tc>
        <w:tc>
          <w:tcPr>
            <w:tcW w:type="dxa" w:w="2160"/>
          </w:tcPr>
          <w:p>
            <w:r>
              <w:t>3 Gateway Servers</w:t>
            </w:r>
          </w:p>
        </w:tc>
        <w:tc>
          <w:tcPr>
            <w:tcW w:type="dxa" w:w="2160"/>
          </w:tcPr>
          <w:p>
            <w:r>
              <w:t>1h 10m</w:t>
            </w:r>
          </w:p>
        </w:tc>
        <w:tc>
          <w:tcPr>
            <w:tcW w:type="dxa" w:w="2160"/>
          </w:tcPr>
          <w:p>
            <w:r>
              <w:t>$840,000 USD</w:t>
            </w:r>
          </w:p>
        </w:tc>
      </w:tr>
    </w:tbl>
    <w:p>
      <w:r>
        <w:br w:type="page"/>
      </w:r>
    </w:p>
    <w:p>
      <w:pPr>
        <w:pStyle w:val="Heading1"/>
      </w:pPr>
      <w:r>
        <w:t>4. Containment Actions &amp; Strategic Hardening Mandates</w:t>
      </w:r>
    </w:p>
    <w:p>
      <w:r>
        <w:t>The containment team executed emergency isolation protocols at 06:59 UTC on August 14, 2026. All egress routes to known command-and-control infrastructure were blocked at the national backbone BGP level.</w:t>
      </w:r>
    </w:p>
    <w:p>
      <w:r>
        <w:t>The following immediate remediation actions have been completed:</w:t>
        <w:br/>
        <w:t>1. Revoked all 84 kerberos service account tickets and enforced mandatory 24-character key rotation.</w:t>
        <w:br/>
        <w:t>2. Decommissioned all 14 affected server instances and rebuilt systems from verified cryptographic golden images.</w:t>
        <w:br/>
        <w:t>3. Patched CVE-2024-3094 across 100% of internal Linux nodes (verified 1,240 servers).</w:t>
        <w:br/>
        <w:t>4. Enforced hardware FIDO2 MFA across all administrative ingress points.</w:t>
      </w:r>
    </w:p>
    <w:p>
      <w:pPr>
        <w:pStyle w:val="Heading1"/>
      </w:pPr>
      <w:r>
        <w:t>5. Strategic Recommendations for Leadership</w:t>
      </w:r>
    </w:p>
    <w:p>
      <w:r>
        <w:t>To ensure permanent resilience and prevent recurrence of similar advanced persistent threats, the advisory board recommends the following three core investments:</w:t>
        <w:br/>
        <w:br/>
        <w:t>• Mandate Zero Trust Micro-segmentation across OT/IT boundary layers within 60 days.</w:t>
        <w:br/>
        <w:t>• Establish Immutable Blockchain Provenance logging for all operational telemetry artifacts.</w:t>
        <w:br/>
        <w:t>• Allocate an emergency capital reserve of $1,500,000 USD for continuous automated red-team simulations.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