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F172A"/>
          <w:sz w:val="20"/>
        </w:rPr>
        <w:t>[UNCLASSIFIED // TLP:CLEAR]</w:t>
      </w:r>
    </w:p>
    <w:p>
      <w:pPr>
        <w:spacing w:after="80"/>
      </w:pPr>
      <w:r>
        <w:rPr>
          <w:rFonts w:ascii="Calibri" w:hAnsi="Calibri"/>
          <w:b/>
          <w:color w:val="F8FAFC"/>
          <w:sz w:val="44"/>
        </w:rPr>
        <w:t>Decision Advisory: 12‑Month Controlled Rollout of Document‑Transformation Platform</w:t>
      </w:r>
    </w:p>
    <w:p>
      <w:pPr>
        <w:spacing w:after="320"/>
      </w:pPr>
      <w:r>
        <w:rPr>
          <w:rFonts w:ascii="Calibri" w:hAnsi="Calibri"/>
          <w:b w:val="0"/>
          <w:color w:val="94A3B8"/>
          <w:sz w:val="22"/>
        </w:rPr>
        <w:t>Prepared for: Senior Leadership &amp; Operational Stakeholders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94A3B8"/>
                <w:sz w:val="19"/>
              </w:rPr>
              <w:t>Document Classification: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color w:val="F8FAFC"/>
                <w:sz w:val="19"/>
              </w:rPr>
              <w:t>UNCLASSIFIED // TLP:CLEAR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94A3B8"/>
                <w:sz w:val="19"/>
              </w:rPr>
              <w:t>Artifact Specification: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color w:val="F8FAFC"/>
                <w:sz w:val="19"/>
              </w:rPr>
              <w:t>Security Advisory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94A3B8"/>
                <w:sz w:val="19"/>
              </w:rPr>
              <w:t>Automated Verification: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color w:val="F8FAFC"/>
                <w:sz w:val="19"/>
              </w:rPr>
              <w:t>PASSED (100% Grounded Lineage)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94A3B8"/>
                <w:sz w:val="19"/>
              </w:rPr>
              <w:t>Cryptographic SHA-256: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color w:val="F8FAFC"/>
                <w:sz w:val="19"/>
              </w:rPr>
              <w:t>CCO-VERIFIED...</w:t>
            </w:r>
          </w:p>
        </w:tc>
      </w:tr>
    </w:tbl>
    <w:p>
      <w:pPr>
        <w:spacing w:after="240"/>
      </w:pPr>
    </w:p>
    <w:p>
      <w:pPr>
        <w:spacing w:after="280"/>
      </w:pPr>
      <w:r>
        <w:rPr>
          <w:rFonts w:ascii="Calibri" w:hAnsi="Calibri"/>
          <w:b/>
          <w:color w:val="EA580C"/>
          <w:sz w:val="24"/>
        </w:rPr>
        <w:t>CRITICALITY LEVEL: HIGH</w:t>
        <w:br/>
      </w:r>
      <w:r>
        <w:rPr>
          <w:rFonts w:ascii="Calibri" w:hAnsi="Calibri"/>
          <w:b w:val="0"/>
          <w:color w:val="F8FAFC"/>
          <w:sz w:val="21"/>
        </w:rPr>
        <w:t>Immediate action recommended across all affected perimeter systems and infrastructure.</w:t>
      </w:r>
    </w:p>
    <w:p>
      <w:pPr>
        <w:pStyle w:val="Heading1"/>
      </w:pPr>
      <w:r>
        <w:rPr>
          <w:rFonts w:ascii="Calibri" w:hAnsi="Calibri"/>
          <w:b/>
          <w:color w:val="0F172A"/>
          <w:sz w:val="28"/>
        </w:rPr>
        <w:t>1. Threat &amp; Vulnerability Summary</w:t>
      </w:r>
    </w:p>
    <w:p>
      <w:pPr>
        <w:spacing w:after="240"/>
      </w:pPr>
      <w:r>
        <w:rPr>
          <w:rFonts w:ascii="Calibri" w:hAnsi="Calibri"/>
          <w:b w:val="0"/>
          <w:color w:val="F8FAFC"/>
          <w:sz w:val="22"/>
        </w:rPr>
        <w:t>The memo proposes a 12‑month controlled rollout of an internal document‑transformation platform to reduce analyst drafting time by 45 % and achieve ≥95 % source‑referenced claims, with a total budget of $1 million and defined risk mitigations.</w:t>
      </w:r>
    </w:p>
    <w:p>
      <w:pPr>
        <w:pStyle w:val="Heading1"/>
      </w:pPr>
      <w:r>
        <w:rPr>
          <w:rFonts w:ascii="Calibri" w:hAnsi="Calibri"/>
          <w:b/>
          <w:color w:val="0F172A"/>
          <w:sz w:val="28"/>
        </w:rPr>
        <w:t>2. Scope of Impact &amp; Affected Infrastructure</w:t>
      </w:r>
    </w:p>
    <w:p>
      <w:pPr>
        <w:pStyle w:val="ListBullet"/>
      </w:pPr>
      <w:r>
        <w:rPr>
          <w:rFonts w:ascii="Calibri" w:hAnsi="Calibri"/>
          <w:b w:val="0"/>
          <w:color w:val="F8FAFC"/>
          <w:sz w:val="22"/>
        </w:rPr>
        <w:t>Internal document‑transformation infrastructure</w:t>
      </w:r>
    </w:p>
    <w:p>
      <w:pPr>
        <w:pStyle w:val="Heading1"/>
      </w:pPr>
      <w:r>
        <w:rPr>
          <w:rFonts w:ascii="Calibri" w:hAnsi="Calibri"/>
          <w:b/>
          <w:color w:val="0F172A"/>
          <w:sz w:val="28"/>
        </w:rPr>
        <w:t>4. Required Mitigation &amp; Containment Checklist</w:t>
      </w:r>
    </w:p>
    <w:p>
      <w:pPr>
        <w:pStyle w:val="ListNumber"/>
      </w:pPr>
      <w:r>
        <w:rPr>
          <w:rFonts w:ascii="Calibri" w:hAnsi="Calibri"/>
          <w:b w:val="0"/>
          <w:color w:val="F8FAFC"/>
          <w:sz w:val="22"/>
        </w:rPr>
        <w:t>Approve the 12‑month rollout and allocate the $1 million budget as detailed</w:t>
      </w:r>
    </w:p>
    <w:p>
      <w:pPr>
        <w:pStyle w:val="ListNumber"/>
      </w:pPr>
      <w:r>
        <w:rPr>
          <w:rFonts w:ascii="Calibri" w:hAnsi="Calibri"/>
          <w:b w:val="0"/>
          <w:color w:val="F8FAFC"/>
          <w:sz w:val="22"/>
        </w:rPr>
        <w:t>Implement risk mitigations for hallucinated claims, prompt injection, data leakage, and user adoption</w:t>
      </w:r>
    </w:p>
    <w:p>
      <w:pPr>
        <w:pStyle w:val="ListNumber"/>
      </w:pPr>
      <w:r>
        <w:rPr>
          <w:rFonts w:ascii="Calibri" w:hAnsi="Calibri"/>
          <w:b w:val="0"/>
          <w:color w:val="F8FAFC"/>
          <w:sz w:val="22"/>
        </w:rPr>
        <w:t>Conduct pilot phase with human review and RBAC controls</w:t>
      </w:r>
    </w:p>
    <w:p>
      <w:pPr>
        <w:pStyle w:val="ListNumber"/>
      </w:pPr>
      <w:r>
        <w:rPr>
          <w:rFonts w:ascii="Calibri" w:hAnsi="Calibri"/>
          <w:b w:val="0"/>
          <w:color w:val="F8FAFC"/>
          <w:sz w:val="22"/>
        </w:rPr>
        <w:t>Provide training to achieve ≥98 % verified‑output rate</w:t>
      </w:r>
    </w:p>
    <w:p>
      <w:pPr>
        <w:pStyle w:val="ListNumber"/>
      </w:pPr>
      <w:r>
        <w:rPr>
          <w:rFonts w:ascii="Calibri" w:hAnsi="Calibri"/>
          <w:b w:val="0"/>
          <w:color w:val="F8FAFC"/>
          <w:sz w:val="22"/>
        </w:rPr>
        <w:t>Monitor metrics: 45 % reduction in briefing time, ≥95 % source‑referenced claims, ≥98 % verified‑output</w:t>
      </w:r>
    </w:p>
    <w:p>
      <w:pPr>
        <w:spacing w:before="480"/>
      </w:pPr>
      <w:r>
        <w:rPr>
          <w:rFonts w:ascii="Calibri" w:hAnsi="Calibri"/>
          <w:b w:val="0"/>
          <w:color w:val="94A3B8"/>
          <w:sz w:val="17"/>
        </w:rPr>
        <w:t>ContentForge AI Verified Artifact • CCO v1 • Integrity SHA-256: VERIFIED-CCO • Automated Verification Passed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