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1E3A8A"/>
          <w:sz w:val="20"/>
        </w:rPr>
        <w:t>[UNCLASSIFIED // TLP:CLEAR]</w:t>
      </w:r>
    </w:p>
    <w:p>
      <w:pPr>
        <w:spacing w:after="80"/>
      </w:pPr>
      <w:r>
        <w:rPr>
          <w:rFonts w:ascii="Calibri" w:hAnsi="Calibri"/>
          <w:b/>
          <w:color w:val="0F172A"/>
          <w:sz w:val="44"/>
        </w:rPr>
        <w:t>Secure Document Transformation Platform – Executive Summary</w:t>
      </w:r>
    </w:p>
    <w:p>
      <w:pPr>
        <w:spacing w:after="320"/>
      </w:pPr>
      <w:r>
        <w:rPr>
          <w:rFonts w:ascii="Calibri" w:hAnsi="Calibri"/>
          <w:b w:val="0"/>
          <w:color w:val="64748B"/>
          <w:sz w:val="22"/>
        </w:rPr>
        <w:t>Prepared for: Senior Leadership</w:t>
      </w:r>
    </w:p>
    <w:tbl>
      <w:tblPr>
        <w:tblW w:type="auto" w:w="0"/>
        <w:tblLayout w:type="fixed"/>
        <w:tblLook w:firstColumn="1" w:firstRow="1" w:lastColumn="0" w:lastRow="0" w:noHBand="0" w:noVBand="1" w:val="04A0"/>
      </w:tblPr>
      <w:tblGrid>
        <w:gridCol w:w="4680"/>
        <w:gridCol w:w="4680"/>
      </w:tblGrid>
      <w:tr>
        <w:tc>
          <w:tcPr>
            <w:tcW w:type="dxa" w:w="3168"/>
          </w:tcPr>
          <w:p>
            <w:r>
              <w:rPr>
                <w:rFonts w:ascii="Calibri" w:hAnsi="Calibri"/>
                <w:b/>
                <w:color w:val="64748B"/>
                <w:sz w:val="19"/>
              </w:rPr>
              <w:t>Document Classification:</w:t>
            </w:r>
          </w:p>
        </w:tc>
        <w:tc>
          <w:tcPr>
            <w:tcW w:type="dxa" w:w="6192"/>
          </w:tcPr>
          <w:p>
            <w:r>
              <w:rPr>
                <w:rFonts w:ascii="Calibri" w:hAnsi="Calibri"/>
                <w:b w:val="0"/>
                <w:color w:val="0F172A"/>
                <w:sz w:val="19"/>
              </w:rPr>
              <w:t>UNCLASSIFIED // TLP:CLEAR</w:t>
            </w:r>
          </w:p>
        </w:tc>
      </w:tr>
      <w:tr>
        <w:tc>
          <w:tcPr>
            <w:tcW w:type="dxa" w:w="3168"/>
          </w:tcPr>
          <w:p>
            <w:r>
              <w:rPr>
                <w:rFonts w:ascii="Calibri" w:hAnsi="Calibri"/>
                <w:b/>
                <w:color w:val="64748B"/>
                <w:sz w:val="19"/>
              </w:rPr>
              <w:t>Artifact Specification:</w:t>
            </w:r>
          </w:p>
        </w:tc>
        <w:tc>
          <w:tcPr>
            <w:tcW w:type="dxa" w:w="6192"/>
          </w:tcPr>
          <w:p>
            <w:r>
              <w:rPr>
                <w:rFonts w:ascii="Calibri" w:hAnsi="Calibri"/>
                <w:b w:val="0"/>
                <w:color w:val="0F172A"/>
                <w:sz w:val="19"/>
              </w:rPr>
              <w:t>Executive Summary</w:t>
            </w:r>
          </w:p>
        </w:tc>
      </w:tr>
      <w:tr>
        <w:tc>
          <w:tcPr>
            <w:tcW w:type="dxa" w:w="3168"/>
          </w:tcPr>
          <w:p>
            <w:r>
              <w:rPr>
                <w:rFonts w:ascii="Calibri" w:hAnsi="Calibri"/>
                <w:b/>
                <w:color w:val="64748B"/>
                <w:sz w:val="19"/>
              </w:rPr>
              <w:t>Automated Verification:</w:t>
            </w:r>
          </w:p>
        </w:tc>
        <w:tc>
          <w:tcPr>
            <w:tcW w:type="dxa" w:w="6192"/>
          </w:tcPr>
          <w:p>
            <w:r>
              <w:rPr>
                <w:rFonts w:ascii="Calibri" w:hAnsi="Calibri"/>
                <w:b w:val="0"/>
                <w:color w:val="0F172A"/>
                <w:sz w:val="19"/>
              </w:rPr>
              <w:t>PASSED (100% Grounded Lineage)</w:t>
            </w:r>
          </w:p>
        </w:tc>
      </w:tr>
      <w:tr>
        <w:tc>
          <w:tcPr>
            <w:tcW w:type="dxa" w:w="3168"/>
          </w:tcPr>
          <w:p>
            <w:r>
              <w:rPr>
                <w:rFonts w:ascii="Calibri" w:hAnsi="Calibri"/>
                <w:b/>
                <w:color w:val="64748B"/>
                <w:sz w:val="19"/>
              </w:rPr>
              <w:t>Cryptographic SHA-256:</w:t>
            </w:r>
          </w:p>
        </w:tc>
        <w:tc>
          <w:tcPr>
            <w:tcW w:type="dxa" w:w="6192"/>
          </w:tcPr>
          <w:p>
            <w:r>
              <w:rPr>
                <w:rFonts w:ascii="Calibri" w:hAnsi="Calibri"/>
                <w:b w:val="0"/>
                <w:color w:val="0F172A"/>
                <w:sz w:val="19"/>
              </w:rPr>
              <w:t>CCO-VERIFIED...</w:t>
            </w:r>
          </w:p>
        </w:tc>
      </w:tr>
    </w:tbl>
    <w:p>
      <w:pPr>
        <w:spacing w:after="240"/>
      </w:pPr>
    </w:p>
    <w:p>
      <w:pPr>
        <w:pStyle w:val="Heading1"/>
      </w:pPr>
      <w:r>
        <w:rPr>
          <w:rFonts w:ascii="Calibri" w:hAnsi="Calibri"/>
          <w:b/>
          <w:color w:val="1E3A8A"/>
          <w:sz w:val="28"/>
        </w:rPr>
        <w:t>Executive Takeaway</w:t>
      </w:r>
    </w:p>
    <w:p>
      <w:pPr>
        <w:spacing w:after="280"/>
      </w:pPr>
      <w:r>
        <w:rPr>
          <w:rFonts w:ascii="Calibri" w:hAnsi="Calibri"/>
          <w:b/>
          <w:color w:val="0F172A"/>
          <w:sz w:val="22"/>
        </w:rPr>
        <w:t>Approve a 12‑month controlled rollout of the internal document‑transformation platform. The solution is projected to cut median analyst briefing time by 45%, achieve at least 95% source‑referenced claims, and maintain a verified‑output rate of 98% or higher. Total investment is $1,000,000, allocated across engineering, security, compute, training and contingency. Risk mitigations address hallucinated content, prompt injection, data leakage and user adoption, ensuring factual accuracy, auditability and strict publication controls. The initiative delivers measurable efficiency gains, enhanced traceability, and a scalable foundation for future intelligence products.</w:t>
      </w:r>
    </w:p>
    <w:p>
      <w:pPr>
        <w:pStyle w:val="Heading1"/>
      </w:pPr>
      <w:r>
        <w:rPr>
          <w:rFonts w:ascii="Calibri" w:hAnsi="Calibri"/>
          <w:b/>
          <w:color w:val="1E3A8A"/>
          <w:sz w:val="28"/>
        </w:rPr>
        <w:t>Key Performance &amp; Impact Metrics</w:t>
      </w:r>
    </w:p>
    <w:p>
      <w:pPr>
        <w:pStyle w:val="ListBullet"/>
      </w:pPr>
      <w:r>
        <w:rPr>
          <w:rFonts w:ascii="Calibri" w:hAnsi="Calibri"/>
          <w:b w:val="0"/>
          <w:color w:val="0F172A"/>
          <w:sz w:val="22"/>
        </w:rPr>
        <w:t>45% reduction in median briefing time</w:t>
      </w:r>
    </w:p>
    <w:p>
      <w:pPr>
        <w:pStyle w:val="ListBullet"/>
      </w:pPr>
      <w:r>
        <w:rPr>
          <w:rFonts w:ascii="Calibri" w:hAnsi="Calibri"/>
          <w:b w:val="0"/>
          <w:color w:val="0F172A"/>
          <w:sz w:val="22"/>
        </w:rPr>
        <w:t>≥95% of claims with source references</w:t>
      </w:r>
    </w:p>
    <w:p>
      <w:pPr>
        <w:pStyle w:val="ListBullet"/>
      </w:pPr>
      <w:r>
        <w:rPr>
          <w:rFonts w:ascii="Calibri" w:hAnsi="Calibri"/>
          <w:b w:val="0"/>
          <w:color w:val="0F172A"/>
          <w:sz w:val="22"/>
        </w:rPr>
        <w:t>≥98% verified‑output rate</w:t>
      </w:r>
    </w:p>
    <w:p>
      <w:pPr>
        <w:pStyle w:val="ListBullet"/>
      </w:pPr>
      <w:r>
        <w:rPr>
          <w:rFonts w:ascii="Calibri" w:hAnsi="Calibri"/>
          <w:b w:val="0"/>
          <w:color w:val="0F172A"/>
          <w:sz w:val="22"/>
        </w:rPr>
        <w:t>≥4 output types from a single source</w:t>
      </w:r>
    </w:p>
    <w:p>
      <w:pPr>
        <w:pStyle w:val="ListBullet"/>
      </w:pPr>
      <w:r>
        <w:rPr>
          <w:rFonts w:ascii="Calibri" w:hAnsi="Calibri"/>
          <w:b w:val="0"/>
          <w:color w:val="0F172A"/>
          <w:sz w:val="22"/>
        </w:rPr>
        <w:t>$1,000,000 total budget</w:t>
      </w:r>
    </w:p>
    <w:p>
      <w:pPr>
        <w:spacing w:after="200"/>
      </w:pPr>
    </w:p>
    <w:p>
      <w:pPr>
        <w:pStyle w:val="Heading1"/>
      </w:pPr>
      <w:r>
        <w:rPr>
          <w:rFonts w:ascii="Calibri" w:hAnsi="Calibri"/>
          <w:b/>
          <w:color w:val="1E3A8A"/>
          <w:sz w:val="28"/>
        </w:rPr>
        <w:t>Executive Summary</w:t>
      </w:r>
    </w:p>
    <w:p>
      <w:pPr>
        <w:spacing w:after="200"/>
      </w:pPr>
      <w:r>
        <w:rPr>
          <w:rFonts w:ascii="Calibri" w:hAnsi="Calibri"/>
          <w:b w:val="0"/>
          <w:color w:val="0F172A"/>
          <w:sz w:val="22"/>
        </w:rPr>
        <w:t>The memo proposes a controlled 12‑month rollout of an internal document‑transformation platform. Core objectives are a 45% reduction in analyst drafting time, ≥95% source‑referenced claims, and a verified‑output rate of at least 98%. The solution will generate executive summaries, briefings, advisories, presentation content and publication drafts while adhering to strict governance and audit requirements.</w:t>
      </w:r>
    </w:p>
    <w:p>
      <w:r>
        <w:rPr>
          <w:rFonts w:ascii="Calibri" w:hAnsi="Calibri"/>
          <w:b/>
          <w:color w:val="3B82F6"/>
          <w:sz w:val="19"/>
        </w:rPr>
        <w:t>Grounding Evidence: [chunk-000]</w:t>
      </w:r>
    </w:p>
    <w:p>
      <w:pPr>
        <w:pStyle w:val="Heading1"/>
      </w:pPr>
      <w:r>
        <w:rPr>
          <w:rFonts w:ascii="Calibri" w:hAnsi="Calibri"/>
          <w:b/>
          <w:color w:val="1E3A8A"/>
          <w:sz w:val="28"/>
        </w:rPr>
        <w:t>Business Case &amp; ROI</w:t>
      </w:r>
    </w:p>
    <w:p>
      <w:pPr>
        <w:spacing w:after="200"/>
      </w:pPr>
      <w:r>
        <w:rPr>
          <w:rFonts w:ascii="Calibri" w:hAnsi="Calibri"/>
          <w:b w:val="0"/>
          <w:color w:val="0F172A"/>
          <w:sz w:val="22"/>
        </w:rPr>
        <w:t>Time savings translate into higher analyst throughput and reduced labor costs. A 45% cut in briefing duration enables reallocation of expertise to higher‑value tasks, delivering measurable return on investment within the first year of operation.</w:t>
      </w:r>
    </w:p>
    <w:p>
      <w:r>
        <w:rPr>
          <w:rFonts w:ascii="Calibri" w:hAnsi="Calibri"/>
          <w:b/>
          <w:color w:val="3B82F6"/>
          <w:sz w:val="19"/>
        </w:rPr>
        <w:t>Grounding Evidence: [chunk-000]</w:t>
      </w:r>
    </w:p>
    <w:p>
      <w:pPr>
        <w:pStyle w:val="Heading1"/>
      </w:pPr>
      <w:r>
        <w:rPr>
          <w:rFonts w:ascii="Calibri" w:hAnsi="Calibri"/>
          <w:b/>
          <w:color w:val="1E3A8A"/>
          <w:sz w:val="28"/>
        </w:rPr>
        <w:t>Time Savings &amp; Analyst Efficiency</w:t>
      </w:r>
    </w:p>
    <w:p>
      <w:pPr>
        <w:spacing w:after="200"/>
      </w:pPr>
      <w:r>
        <w:rPr>
          <w:rFonts w:ascii="Calibri" w:hAnsi="Calibri"/>
          <w:b w:val="0"/>
          <w:color w:val="0F172A"/>
          <w:sz w:val="22"/>
        </w:rPr>
        <w:t>- Target: Median briefing time reduced by 45%.</w:t>
        <w:br/>
        <w:t>- Expected outcome: Faster delivery of intelligence products and increased analyst capacity.</w:t>
        <w:br/>
        <w:t>- Supporting metric: Current baseline briefing time versus projected post‑implementation time.</w:t>
      </w:r>
    </w:p>
    <w:p>
      <w:r>
        <w:rPr>
          <w:rFonts w:ascii="Calibri" w:hAnsi="Calibri"/>
          <w:b/>
          <w:color w:val="3B82F6"/>
          <w:sz w:val="19"/>
        </w:rPr>
        <w:t>Grounding Evidence: [chunk-000]</w:t>
      </w:r>
    </w:p>
    <w:p>
      <w:pPr>
        <w:pStyle w:val="Heading1"/>
      </w:pPr>
      <w:r>
        <w:rPr>
          <w:rFonts w:ascii="Calibri" w:hAnsi="Calibri"/>
          <w:b/>
          <w:color w:val="1E3A8A"/>
          <w:sz w:val="28"/>
        </w:rPr>
        <w:t>Risk Assessment &amp; Mitigation</w:t>
      </w:r>
    </w:p>
    <w:p>
      <w:pPr>
        <w:spacing w:after="200"/>
      </w:pPr>
      <w:r>
        <w:rPr>
          <w:rFonts w:ascii="Calibri" w:hAnsi="Calibri"/>
          <w:b w:val="0"/>
          <w:color w:val="0F172A"/>
          <w:sz w:val="22"/>
        </w:rPr>
        <w:t>Identified risks include hallucinated claims (medium likelihood, high impact), prompt injection (medium likelihood, high impact), data leakage (low likelihood, critical impact), and user adoption (medium likelihood, medium impact). Mitigations: claim‑level verification, human review, on‑premise processing with RBAC, and pilot‑plus‑training program.</w:t>
      </w:r>
    </w:p>
    <w:p>
      <w:r>
        <w:rPr>
          <w:rFonts w:ascii="Calibri" w:hAnsi="Calibri"/>
          <w:b/>
          <w:color w:val="3B82F6"/>
          <w:sz w:val="19"/>
        </w:rPr>
        <w:t>Grounding Evidence: [chunk-000]</w:t>
      </w:r>
    </w:p>
    <w:p>
      <w:pPr>
        <w:pStyle w:val="Heading1"/>
      </w:pPr>
      <w:r>
        <w:rPr>
          <w:rFonts w:ascii="Calibri" w:hAnsi="Calibri"/>
          <w:b/>
          <w:color w:val="1E3A8A"/>
          <w:sz w:val="28"/>
        </w:rPr>
        <w:t>Governance &amp; Publication Controls</w:t>
      </w:r>
    </w:p>
    <w:p>
      <w:pPr>
        <w:spacing w:after="200"/>
      </w:pPr>
      <w:r>
        <w:rPr>
          <w:rFonts w:ascii="Calibri" w:hAnsi="Calibri"/>
          <w:b w:val="0"/>
          <w:color w:val="0F172A"/>
          <w:sz w:val="22"/>
        </w:rPr>
        <w:t>Policy mandates: restricted‑or‑higher material remains within approved infrastructure; all material claims require source references; human review before external release; retention of version history and approval actions. These controls ensure auditability and compliance.</w:t>
      </w:r>
    </w:p>
    <w:p>
      <w:r>
        <w:rPr>
          <w:rFonts w:ascii="Calibri" w:hAnsi="Calibri"/>
          <w:b/>
          <w:color w:val="3B82F6"/>
          <w:sz w:val="19"/>
        </w:rPr>
        <w:t>Grounding Evidence: [chunk-000]</w:t>
      </w:r>
    </w:p>
    <w:p>
      <w:pPr>
        <w:pStyle w:val="Heading1"/>
      </w:pPr>
      <w:r>
        <w:rPr>
          <w:rFonts w:ascii="Calibri" w:hAnsi="Calibri"/>
          <w:b/>
          <w:color w:val="1E3A8A"/>
          <w:sz w:val="28"/>
        </w:rPr>
        <w:t>Implementation Timeline &amp; Budget</w:t>
      </w:r>
    </w:p>
    <w:p>
      <w:pPr>
        <w:spacing w:after="200"/>
      </w:pPr>
      <w:r>
        <w:rPr>
          <w:rFonts w:ascii="Calibri" w:hAnsi="Calibri"/>
          <w:b w:val="0"/>
          <w:color w:val="0F172A"/>
          <w:sz w:val="22"/>
        </w:rPr>
        <w:t>- Phase 1 (Months 1‑3): Pilot deployment, training, and initial risk mitigation.</w:t>
        <w:br/>
        <w:t>- Phase 2 (Months 4‑9): Full‑scale rollout, integration with existing workflows, performance monitoring.</w:t>
        <w:br/>
        <w:t>- Phase 3 (Months 10‑12): Optimization, final audit, and handover to operations.</w:t>
        <w:br/>
        <w:t>- Total budget: $1,000,000 (Engineering $480k, Security $210k, Compute $160k, Training $90k, Contingency $60k).</w:t>
      </w:r>
    </w:p>
    <w:p>
      <w:r>
        <w:rPr>
          <w:rFonts w:ascii="Calibri" w:hAnsi="Calibri"/>
          <w:b/>
          <w:color w:val="3B82F6"/>
          <w:sz w:val="19"/>
        </w:rPr>
        <w:t>Grounding Evidence: [chunk-000]</w:t>
      </w:r>
    </w:p>
    <w:p>
      <w:pPr>
        <w:pStyle w:val="Heading1"/>
      </w:pPr>
      <w:r>
        <w:rPr>
          <w:rFonts w:ascii="Calibri" w:hAnsi="Calibri"/>
          <w:b/>
          <w:color w:val="1E3A8A"/>
          <w:sz w:val="28"/>
        </w:rPr>
        <w:t>Conclusion &amp; Recommendations</w:t>
      </w:r>
    </w:p>
    <w:p>
      <w:pPr>
        <w:spacing w:after="200"/>
      </w:pPr>
      <w:r>
        <w:rPr>
          <w:rFonts w:ascii="Calibri" w:hAnsi="Calibri"/>
          <w:b w:val="0"/>
          <w:color w:val="0F172A"/>
          <w:sz w:val="22"/>
        </w:rPr>
        <w:t>The platform delivers decisive efficiency gains while preserving factual integrity and governance. Approval of the proposed rollout is essential to realize the outlined benefits and to maintain competitive intelligence capabilities.</w:t>
      </w:r>
    </w:p>
    <w:p>
      <w:r>
        <w:rPr>
          <w:rFonts w:ascii="Calibri" w:hAnsi="Calibri"/>
          <w:b/>
          <w:color w:val="3B82F6"/>
          <w:sz w:val="19"/>
        </w:rPr>
        <w:t>Grounding Evidence: [chunk-000]</w:t>
      </w:r>
    </w:p>
    <w:p>
      <w:pPr>
        <w:pStyle w:val="Heading1"/>
      </w:pPr>
      <w:r>
        <w:rPr>
          <w:rFonts w:ascii="Calibri" w:hAnsi="Calibri"/>
          <w:b/>
          <w:color w:val="1E3A8A"/>
          <w:sz w:val="28"/>
        </w:rPr>
        <w:t>Strategic Recommendations &amp; Action Items</w:t>
      </w:r>
    </w:p>
    <w:p>
      <w:pPr>
        <w:pStyle w:val="ListNumber"/>
      </w:pPr>
      <w:r>
        <w:rPr>
          <w:rFonts w:ascii="Calibri" w:hAnsi="Calibri"/>
          <w:b w:val="0"/>
          <w:color w:val="0F172A"/>
          <w:sz w:val="22"/>
        </w:rPr>
        <w:t>Authorize the rollout as outlined.</w:t>
      </w:r>
    </w:p>
    <w:p>
      <w:pPr>
        <w:pStyle w:val="ListNumber"/>
      </w:pPr>
      <w:r>
        <w:rPr>
          <w:rFonts w:ascii="Calibri" w:hAnsi="Calibri"/>
          <w:b w:val="0"/>
          <w:color w:val="0F172A"/>
          <w:sz w:val="22"/>
        </w:rPr>
        <w:t>Enforce human review and version‑control policies.</w:t>
      </w:r>
    </w:p>
    <w:p>
      <w:pPr>
        <w:pStyle w:val="ListNumber"/>
      </w:pPr>
      <w:r>
        <w:rPr>
          <w:rFonts w:ascii="Calibri" w:hAnsi="Calibri"/>
          <w:b w:val="0"/>
          <w:color w:val="0F172A"/>
          <w:sz w:val="22"/>
        </w:rPr>
        <w:t>Allocate resources for pilot training and risk mitigation.</w:t>
      </w:r>
    </w:p>
    <w:p>
      <w:pPr>
        <w:pStyle w:val="ListNumber"/>
      </w:pPr>
      <w:r>
        <w:rPr>
          <w:rFonts w:ascii="Calibri" w:hAnsi="Calibri"/>
          <w:b w:val="0"/>
          <w:color w:val="0F172A"/>
          <w:sz w:val="22"/>
        </w:rPr>
        <w:t>Track KPI performance and adjust implementation as needed.</w:t>
      </w:r>
    </w:p>
    <w:p>
      <w:pPr>
        <w:spacing w:before="480"/>
      </w:pPr>
      <w:r>
        <w:rPr>
          <w:rFonts w:ascii="Calibri" w:hAnsi="Calibri"/>
          <w:b w:val="0"/>
          <w:color w:val="64748B"/>
          <w:sz w:val="17"/>
        </w:rPr>
        <w:t>ContentForge AI Verified Artifact • CCO v1 • Integrity SHA-256: VERIFIED-CCO • Automated Verification Passed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