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Business Requirement Specification</w:t>
      </w:r>
    </w:p>
    <w:p>
      <w:pPr>
        <w:jc w:val="center"/>
      </w:pPr>
      <w:r>
        <w:rPr>
          <w:b/>
          <w:color w:val="1F4E79"/>
          <w:sz w:val="30"/>
        </w:rPr>
        <w:t>AUD Generator for Oracle SCM Application Understanding Documents</w:t>
      </w:r>
    </w:p>
    <w:p/>
    <w:tbl>
      <w:tblPr>
        <w:tblStyle w:val="TableGrid"/>
        <w:tblW w:type="auto" w:w="0"/>
        <w:jc w:val="center"/>
        <w:tblLook w:firstColumn="1" w:firstRow="1" w:lastColumn="0" w:lastRow="0" w:noHBand="0" w:noVBand="1" w:val="04A0"/>
      </w:tblPr>
      <w:tblGrid>
        <w:gridCol w:w="5040"/>
        <w:gridCol w:w="5040"/>
      </w:tblGrid>
      <w:tr>
        <w:trPr>
          <w:cantSplit/>
        </w:trPr>
        <w:tc>
          <w:tcPr>
            <w:tcW w:type="dxa" w:w="2880"/>
            <w:shd w:fill="1F4E79"/>
            <w:vAlign w:val="top"/>
          </w:tcPr>
          <w:p>
            <w:pPr>
              <w:spacing w:after="0"/>
            </w:pPr>
            <w:r/>
            <w:r>
              <w:rPr>
                <w:b/>
                <w:color w:val="FFFFFF"/>
              </w:rPr>
              <w:t>Field</w:t>
            </w:r>
          </w:p>
        </w:tc>
        <w:tc>
          <w:tcPr>
            <w:tcW w:type="dxa" w:w="7056"/>
            <w:shd w:fill="1F4E79"/>
            <w:vAlign w:val="top"/>
          </w:tcPr>
          <w:p>
            <w:pPr>
              <w:spacing w:after="0"/>
            </w:pPr>
            <w:r/>
            <w:r>
              <w:rPr>
                <w:b/>
                <w:color w:val="FFFFFF"/>
              </w:rPr>
              <w:t>Value</w:t>
            </w:r>
          </w:p>
        </w:tc>
      </w:tr>
      <w:tr>
        <w:trPr>
          <w:cantSplit/>
        </w:trPr>
        <w:tc>
          <w:tcPr>
            <w:tcW w:type="dxa" w:w="2880"/>
            <w:vAlign w:val="top"/>
          </w:tcPr>
          <w:p>
            <w:pPr>
              <w:spacing w:after="0"/>
            </w:pPr>
            <w:r/>
            <w:r>
              <w:rPr>
                <w:b w:val="0"/>
              </w:rPr>
              <w:t>Document Type</w:t>
            </w:r>
          </w:p>
        </w:tc>
        <w:tc>
          <w:tcPr>
            <w:tcW w:type="dxa" w:w="7056"/>
            <w:vAlign w:val="top"/>
          </w:tcPr>
          <w:p>
            <w:pPr>
              <w:spacing w:after="0"/>
            </w:pPr>
            <w:r/>
            <w:r>
              <w:rPr>
                <w:b w:val="0"/>
              </w:rPr>
              <w:t>Business Requirement Specification</w:t>
            </w:r>
          </w:p>
        </w:tc>
      </w:tr>
      <w:tr>
        <w:trPr>
          <w:cantSplit/>
        </w:trPr>
        <w:tc>
          <w:tcPr>
            <w:tcW w:type="dxa" w:w="2880"/>
            <w:vAlign w:val="top"/>
          </w:tcPr>
          <w:p>
            <w:pPr>
              <w:spacing w:after="0"/>
            </w:pPr>
            <w:r/>
            <w:r>
              <w:rPr>
                <w:b w:val="0"/>
              </w:rPr>
              <w:t>Scope</w:t>
            </w:r>
          </w:p>
        </w:tc>
        <w:tc>
          <w:tcPr>
            <w:tcW w:type="dxa" w:w="7056"/>
            <w:vAlign w:val="top"/>
          </w:tcPr>
          <w:p>
            <w:pPr>
              <w:spacing w:after="0"/>
            </w:pPr>
            <w:r/>
            <w:r>
              <w:rPr>
                <w:b w:val="0"/>
              </w:rPr>
              <w:t>Requirement understanding only; no technical architecture, OCI services, implementation design, or code</w:t>
            </w:r>
          </w:p>
        </w:tc>
      </w:tr>
      <w:tr>
        <w:trPr>
          <w:cantSplit/>
        </w:trPr>
        <w:tc>
          <w:tcPr>
            <w:tcW w:type="dxa" w:w="2880"/>
            <w:vAlign w:val="top"/>
          </w:tcPr>
          <w:p>
            <w:pPr>
              <w:spacing w:after="0"/>
            </w:pPr>
            <w:r/>
            <w:r>
              <w:rPr>
                <w:b w:val="0"/>
              </w:rPr>
              <w:t>Primary Output</w:t>
            </w:r>
          </w:p>
        </w:tc>
        <w:tc>
          <w:tcPr>
            <w:tcW w:type="dxa" w:w="7056"/>
            <w:vAlign w:val="top"/>
          </w:tcPr>
          <w:p>
            <w:pPr>
              <w:spacing w:after="0"/>
            </w:pPr>
            <w:r/>
            <w:r>
              <w:rPr>
                <w:b w:val="0"/>
              </w:rPr>
              <w:t>Editable Microsoft Word Application Understanding Document (AUD)</w:t>
            </w:r>
          </w:p>
        </w:tc>
      </w:tr>
      <w:tr>
        <w:trPr>
          <w:cantSplit/>
        </w:trPr>
        <w:tc>
          <w:tcPr>
            <w:tcW w:type="dxa" w:w="2880"/>
            <w:vAlign w:val="top"/>
          </w:tcPr>
          <w:p>
            <w:pPr>
              <w:spacing w:after="0"/>
            </w:pPr>
            <w:r/>
            <w:r>
              <w:rPr>
                <w:b w:val="0"/>
              </w:rPr>
              <w:t>Prepared For</w:t>
            </w:r>
          </w:p>
        </w:tc>
        <w:tc>
          <w:tcPr>
            <w:tcW w:type="dxa" w:w="7056"/>
            <w:vAlign w:val="top"/>
          </w:tcPr>
          <w:p>
            <w:pPr>
              <w:spacing w:after="0"/>
            </w:pPr>
            <w:r/>
            <w:r>
              <w:rPr>
                <w:b w:val="0"/>
              </w:rPr>
              <w:t>Oracle SCM AUD generation use case</w:t>
            </w:r>
          </w:p>
        </w:tc>
      </w:tr>
      <w:tr>
        <w:trPr>
          <w:cantSplit/>
        </w:trPr>
        <w:tc>
          <w:tcPr>
            <w:tcW w:type="dxa" w:w="2880"/>
            <w:vAlign w:val="top"/>
          </w:tcPr>
          <w:p>
            <w:pPr>
              <w:spacing w:after="0"/>
            </w:pPr>
            <w:r/>
            <w:r>
              <w:rPr>
                <w:b w:val="0"/>
              </w:rPr>
              <w:t>Version</w:t>
            </w:r>
          </w:p>
        </w:tc>
        <w:tc>
          <w:tcPr>
            <w:tcW w:type="dxa" w:w="7056"/>
            <w:vAlign w:val="top"/>
          </w:tcPr>
          <w:p>
            <w:pPr>
              <w:spacing w:after="0"/>
            </w:pPr>
            <w:r/>
            <w:r>
              <w:rPr>
                <w:b w:val="0"/>
              </w:rPr>
              <w:t>1.0</w:t>
            </w:r>
          </w:p>
        </w:tc>
      </w:tr>
    </w:tbl>
    <w:p/>
    <w:p>
      <w:r>
        <w:br w:type="page"/>
      </w:r>
    </w:p>
    <w:p>
      <w:pPr>
        <w:pStyle w:val="Heading1"/>
      </w:pPr>
      <w:r>
        <w:t>Table of Contents</w:t>
      </w:r>
    </w:p>
    <w:p>
      <w:r>
        <w:t>1. Executive Summary</w:t>
      </w:r>
    </w:p>
    <w:p>
      <w:r>
        <w:t>2. Business Context and Objective</w:t>
      </w:r>
    </w:p>
    <w:p>
      <w:r>
        <w:t>3. In-Scope and Out-of-Scope</w:t>
      </w:r>
    </w:p>
    <w:p>
      <w:r>
        <w:t>4. Supported Input Types and Their Roles</w:t>
      </w:r>
    </w:p>
    <w:p>
      <w:r>
        <w:t>5. Source Priority and Conflict Resolution Rules</w:t>
      </w:r>
    </w:p>
    <w:p>
      <w:r>
        <w:t>6. Output AUD Requirements</w:t>
      </w:r>
    </w:p>
    <w:p>
      <w:r>
        <w:t>7. Document Structure and Template Rules</w:t>
      </w:r>
    </w:p>
    <w:p>
      <w:r>
        <w:t>8. Content Generation Rules</w:t>
      </w:r>
    </w:p>
    <w:p>
      <w:r>
        <w:t>9. Screenshots, Images, Tables, and Flow Handling</w:t>
      </w:r>
    </w:p>
    <w:p>
      <w:r>
        <w:t>10. Open Points and Clarification Rules</w:t>
      </w:r>
    </w:p>
    <w:p>
      <w:r>
        <w:t>11. Human Review and Quality Expectations</w:t>
      </w:r>
    </w:p>
    <w:p>
      <w:r>
        <w:t>12. Functional Requirement Catalog</w:t>
      </w:r>
    </w:p>
    <w:p>
      <w:r>
        <w:t>13. Non-Functional Business Expectations</w:t>
      </w:r>
    </w:p>
    <w:p>
      <w:r>
        <w:t>14. Acceptance Criteria</w:t>
      </w:r>
    </w:p>
    <w:p>
      <w:r>
        <w:t>15. Open Requirement Questions</w:t>
      </w:r>
    </w:p>
    <w:p>
      <w:r>
        <w:t>16. Reference Samples Reviewed</w:t>
      </w:r>
    </w:p>
    <w:p>
      <w:r>
        <w:br w:type="page"/>
      </w:r>
    </w:p>
    <w:p>
      <w:pPr>
        <w:pStyle w:val="Heading1"/>
      </w:pPr>
      <w:r>
        <w:t>1. Executive Summary</w:t>
      </w:r>
    </w:p>
    <w:p>
      <w:r>
        <w:t>The AUD Generator is intended to replace the current manual process of creating Application Understanding Documents (AUDs) after customer knowledge-transfer sessions. The generated AUD should confirm Oracle’s understanding of the customer requirements, business flows, navigation steps, configurations, and SCM module-specific details.</w:t>
      </w:r>
    </w:p>
    <w:p>
      <w:r>
        <w:t>The AUD is a reverse KT document from Oracle to the customer. It is first reviewed internally by Oracle consultants or senior reviewers and then shared with the customer for validation, approval, corrections, or clarification.</w:t>
      </w:r>
    </w:p>
    <w:p>
      <w:r>
        <w:t>The generated AUD should be as close to final-ready as possible, but one senior-consultant review is still expected before customer distribution.</w:t>
      </w:r>
    </w:p>
    <w:p>
      <w:pPr>
        <w:pStyle w:val="Heading1"/>
      </w:pPr>
      <w:r>
        <w:t>2. Business Context and Objective</w:t>
      </w:r>
    </w:p>
    <w:p>
      <w:pPr>
        <w:pStyle w:val="Heading2"/>
      </w:pPr>
      <w:r>
        <w:t>2.1 Current Manual Process</w:t>
      </w:r>
    </w:p>
    <w:p>
      <w:pPr>
        <w:pStyle w:val="ListBullet"/>
      </w:pPr>
      <w:r>
        <w:t>Customer conducts a KT/demo session explaining application flow, navigation, business process, configuration details, and other relevant information.</w:t>
      </w:r>
    </w:p>
    <w:p>
      <w:pPr>
        <w:pStyle w:val="ListBullet"/>
      </w:pPr>
      <w:r>
        <w:t>Customer or project team provides supporting inputs such as KT/demo PPT, video/audio recording, configuration workbook, functional document, visual flow document, template AUD, and other supporting files.</w:t>
      </w:r>
    </w:p>
    <w:p>
      <w:pPr>
        <w:pStyle w:val="ListBullet"/>
      </w:pPr>
      <w:r>
        <w:t>An Oracle user manually reviews the source materials and creates a client/module-specific AUD based on a reference or template AUD.</w:t>
      </w:r>
    </w:p>
    <w:p>
      <w:pPr>
        <w:pStyle w:val="ListBullet"/>
      </w:pPr>
      <w:r>
        <w:t>A senior consultant reviews the AUD before it is shared with the customer.</w:t>
      </w:r>
    </w:p>
    <w:p>
      <w:pPr>
        <w:pStyle w:val="Heading2"/>
      </w:pPr>
      <w:r>
        <w:t>2.2 Target Business Objective</w:t>
      </w:r>
    </w:p>
    <w:p>
      <w:pPr>
        <w:pStyle w:val="ListBullet"/>
      </w:pPr>
      <w:r>
        <w:t>Reduce manual effort in preparing AUDs.</w:t>
      </w:r>
    </w:p>
    <w:p>
      <w:pPr>
        <w:pStyle w:val="ListBullet"/>
      </w:pPr>
      <w:r>
        <w:t>Improve consistency of AUD structure and formatting.</w:t>
      </w:r>
    </w:p>
    <w:p>
      <w:pPr>
        <w:pStyle w:val="ListBullet"/>
      </w:pPr>
      <w:r>
        <w:t>Capture KT content accurately and avoid missed process/configuration points.</w:t>
      </w:r>
    </w:p>
    <w:p>
      <w:pPr>
        <w:pStyle w:val="ListBullet"/>
      </w:pPr>
      <w:r>
        <w:t>Use project-provided documents and KT transcript to generate a polished Word-based AUD draft.</w:t>
      </w:r>
    </w:p>
    <w:p>
      <w:pPr>
        <w:pStyle w:val="ListBullet"/>
      </w:pPr>
      <w:r>
        <w:t>Clearly separate confirmed information from unresolved or low-confidence items.</w:t>
      </w:r>
    </w:p>
    <w:p>
      <w:pPr>
        <w:pStyle w:val="ListBullet"/>
      </w:pPr>
      <w:r>
        <w:t>Avoid assumptions, hallucinations, and unsupported generic Oracle content.</w:t>
      </w:r>
    </w:p>
    <w:p>
      <w:pPr>
        <w:pStyle w:val="Heading1"/>
      </w:pPr>
      <w:r>
        <w:t>3. In-Scope and Out-of-Scope</w:t>
      </w:r>
    </w:p>
    <w:tbl>
      <w:tblPr>
        <w:tblStyle w:val="TableGrid"/>
        <w:tblW w:type="auto" w:w="0"/>
        <w:jc w:val="center"/>
        <w:tblLook w:firstColumn="1" w:firstRow="1" w:lastColumn="0" w:lastRow="0" w:noHBand="0" w:noVBand="1" w:val="04A0"/>
      </w:tblPr>
      <w:tblGrid>
        <w:gridCol w:w="5040"/>
        <w:gridCol w:w="5040"/>
      </w:tblGrid>
      <w:tr>
        <w:trPr>
          <w:cantSplit/>
        </w:trPr>
        <w:tc>
          <w:tcPr>
            <w:tcW w:type="dxa" w:w="2880"/>
            <w:shd w:fill="1F4E79"/>
            <w:vAlign w:val="top"/>
          </w:tcPr>
          <w:p>
            <w:pPr>
              <w:spacing w:after="0"/>
            </w:pPr>
            <w:r/>
            <w:r>
              <w:rPr>
                <w:b/>
                <w:color w:val="FFFFFF"/>
              </w:rPr>
              <w:t>Area</w:t>
            </w:r>
          </w:p>
        </w:tc>
        <w:tc>
          <w:tcPr>
            <w:tcW w:type="dxa" w:w="7056"/>
            <w:shd w:fill="1F4E79"/>
            <w:vAlign w:val="top"/>
          </w:tcPr>
          <w:p>
            <w:pPr>
              <w:spacing w:after="0"/>
            </w:pPr>
            <w:r/>
            <w:r>
              <w:rPr>
                <w:b/>
                <w:color w:val="FFFFFF"/>
              </w:rPr>
              <w:t>In Scope</w:t>
            </w:r>
          </w:p>
        </w:tc>
      </w:tr>
      <w:tr>
        <w:trPr>
          <w:cantSplit/>
        </w:trPr>
        <w:tc>
          <w:tcPr>
            <w:tcW w:type="dxa" w:w="2880"/>
            <w:vAlign w:val="top"/>
          </w:tcPr>
          <w:p>
            <w:pPr>
              <w:spacing w:after="0"/>
            </w:pPr>
            <w:r/>
            <w:r>
              <w:rPr>
                <w:b w:val="0"/>
              </w:rPr>
              <w:t>AUD generation</w:t>
            </w:r>
          </w:p>
        </w:tc>
        <w:tc>
          <w:tcPr>
            <w:tcW w:type="dxa" w:w="7056"/>
            <w:vAlign w:val="top"/>
          </w:tcPr>
          <w:p>
            <w:pPr>
              <w:spacing w:after="0"/>
            </w:pPr>
            <w:r/>
            <w:r>
              <w:rPr>
                <w:b w:val="0"/>
              </w:rPr>
              <w:t>Generate an editable Word AUD from available inputs.</w:t>
            </w:r>
          </w:p>
        </w:tc>
      </w:tr>
      <w:tr>
        <w:trPr>
          <w:cantSplit/>
        </w:trPr>
        <w:tc>
          <w:tcPr>
            <w:tcW w:type="dxa" w:w="2880"/>
            <w:vAlign w:val="top"/>
          </w:tcPr>
          <w:p>
            <w:pPr>
              <w:spacing w:after="0"/>
            </w:pPr>
            <w:r/>
            <w:r>
              <w:rPr>
                <w:b w:val="0"/>
              </w:rPr>
              <w:t>Template handling</w:t>
            </w:r>
          </w:p>
        </w:tc>
        <w:tc>
          <w:tcPr>
            <w:tcW w:type="dxa" w:w="7056"/>
            <w:vAlign w:val="top"/>
          </w:tcPr>
          <w:p>
            <w:pPr>
              <w:spacing w:after="0"/>
            </w:pPr>
            <w:r/>
            <w:r>
              <w:rPr>
                <w:b w:val="0"/>
              </w:rPr>
              <w:t>Use uploaded template when provided; otherwise use the default SCM AUD template.</w:t>
            </w:r>
          </w:p>
        </w:tc>
      </w:tr>
      <w:tr>
        <w:trPr>
          <w:cantSplit/>
        </w:trPr>
        <w:tc>
          <w:tcPr>
            <w:tcW w:type="dxa" w:w="2880"/>
            <w:vAlign w:val="top"/>
          </w:tcPr>
          <w:p>
            <w:pPr>
              <w:spacing w:after="0"/>
            </w:pPr>
            <w:r/>
            <w:r>
              <w:rPr>
                <w:b w:val="0"/>
              </w:rPr>
              <w:t>Flexible inputs</w:t>
            </w:r>
          </w:p>
        </w:tc>
        <w:tc>
          <w:tcPr>
            <w:tcW w:type="dxa" w:w="7056"/>
            <w:vAlign w:val="top"/>
          </w:tcPr>
          <w:p>
            <w:pPr>
              <w:spacing w:after="0"/>
            </w:pPr>
            <w:r/>
            <w:r>
              <w:rPr>
                <w:b w:val="0"/>
              </w:rPr>
              <w:t>Support varying combinations of PPT, transcript/video/audio, configuration workbook, FDD, functional documents, visual flow documents, and supporting documents.</w:t>
            </w:r>
          </w:p>
        </w:tc>
      </w:tr>
      <w:tr>
        <w:trPr>
          <w:cantSplit/>
        </w:trPr>
        <w:tc>
          <w:tcPr>
            <w:tcW w:type="dxa" w:w="2880"/>
            <w:vAlign w:val="top"/>
          </w:tcPr>
          <w:p>
            <w:pPr>
              <w:spacing w:after="0"/>
            </w:pPr>
            <w:r/>
            <w:r>
              <w:rPr>
                <w:b w:val="0"/>
              </w:rPr>
              <w:t>Content extraction</w:t>
            </w:r>
          </w:p>
        </w:tc>
        <w:tc>
          <w:tcPr>
            <w:tcW w:type="dxa" w:w="7056"/>
            <w:vAlign w:val="top"/>
          </w:tcPr>
          <w:p>
            <w:pPr>
              <w:spacing w:after="0"/>
            </w:pPr>
            <w:r/>
            <w:r>
              <w:rPr>
                <w:b w:val="0"/>
              </w:rPr>
              <w:t>Extract and synthesize factual business/process/configuration content from provided inputs.</w:t>
            </w:r>
          </w:p>
        </w:tc>
      </w:tr>
      <w:tr>
        <w:trPr>
          <w:cantSplit/>
        </w:trPr>
        <w:tc>
          <w:tcPr>
            <w:tcW w:type="dxa" w:w="2880"/>
            <w:vAlign w:val="top"/>
          </w:tcPr>
          <w:p>
            <w:pPr>
              <w:spacing w:after="0"/>
            </w:pPr>
            <w:r/>
            <w:r>
              <w:rPr>
                <w:b w:val="0"/>
              </w:rPr>
              <w:t>AI-assisted writing</w:t>
            </w:r>
          </w:p>
        </w:tc>
        <w:tc>
          <w:tcPr>
            <w:tcW w:type="dxa" w:w="7056"/>
            <w:vAlign w:val="top"/>
          </w:tcPr>
          <w:p>
            <w:pPr>
              <w:spacing w:after="0"/>
            </w:pPr>
            <w:r/>
            <w:r>
              <w:rPr>
                <w:b w:val="0"/>
              </w:rPr>
              <w:t>Rewrite and summarize source material professionally without changing meaning.</w:t>
            </w:r>
          </w:p>
        </w:tc>
      </w:tr>
      <w:tr>
        <w:trPr>
          <w:cantSplit/>
        </w:trPr>
        <w:tc>
          <w:tcPr>
            <w:tcW w:type="dxa" w:w="2880"/>
            <w:vAlign w:val="top"/>
          </w:tcPr>
          <w:p>
            <w:pPr>
              <w:spacing w:after="0"/>
            </w:pPr>
            <w:r/>
            <w:r>
              <w:rPr>
                <w:b w:val="0"/>
              </w:rPr>
              <w:t>Open points</w:t>
            </w:r>
          </w:p>
        </w:tc>
        <w:tc>
          <w:tcPr>
            <w:tcW w:type="dxa" w:w="7056"/>
            <w:vAlign w:val="top"/>
          </w:tcPr>
          <w:p>
            <w:pPr>
              <w:spacing w:after="0"/>
            </w:pPr>
            <w:r/>
            <w:r>
              <w:rPr>
                <w:b w:val="0"/>
              </w:rPr>
              <w:t>Capture unresolved questions and manual-action items in an Open Points section.</w:t>
            </w:r>
          </w:p>
        </w:tc>
      </w:tr>
      <w:tr>
        <w:trPr>
          <w:cantSplit/>
        </w:trPr>
        <w:tc>
          <w:tcPr>
            <w:tcW w:type="dxa" w:w="2880"/>
            <w:vAlign w:val="top"/>
          </w:tcPr>
          <w:p>
            <w:pPr>
              <w:spacing w:after="0"/>
            </w:pPr>
            <w:r/>
            <w:r>
              <w:rPr>
                <w:b w:val="0"/>
              </w:rPr>
              <w:t>Images and tables</w:t>
            </w:r>
          </w:p>
        </w:tc>
        <w:tc>
          <w:tcPr>
            <w:tcW w:type="dxa" w:w="7056"/>
            <w:vAlign w:val="top"/>
          </w:tcPr>
          <w:p>
            <w:pPr>
              <w:spacing w:after="0"/>
            </w:pPr>
            <w:r/>
            <w:r>
              <w:rPr>
                <w:b w:val="0"/>
              </w:rPr>
              <w:t>Include relevant PPT/supporting-document images and preserve important structured tables.</w:t>
            </w:r>
          </w:p>
        </w:tc>
      </w:tr>
    </w:tbl>
    <w:p/>
    <w:tbl>
      <w:tblPr>
        <w:tblStyle w:val="TableGrid"/>
        <w:tblW w:type="auto" w:w="0"/>
        <w:jc w:val="center"/>
        <w:tblLook w:firstColumn="1" w:firstRow="1" w:lastColumn="0" w:lastRow="0" w:noHBand="0" w:noVBand="1" w:val="04A0"/>
      </w:tblPr>
      <w:tblGrid>
        <w:gridCol w:w="5040"/>
        <w:gridCol w:w="5040"/>
      </w:tblGrid>
      <w:tr>
        <w:trPr>
          <w:cantSplit/>
        </w:trPr>
        <w:tc>
          <w:tcPr>
            <w:tcW w:type="dxa" w:w="2880"/>
            <w:shd w:fill="1F4E79"/>
            <w:vAlign w:val="top"/>
          </w:tcPr>
          <w:p>
            <w:pPr>
              <w:spacing w:after="0"/>
            </w:pPr>
            <w:r/>
            <w:r>
              <w:rPr>
                <w:b/>
                <w:color w:val="FFFFFF"/>
              </w:rPr>
              <w:t>Area</w:t>
            </w:r>
          </w:p>
        </w:tc>
        <w:tc>
          <w:tcPr>
            <w:tcW w:type="dxa" w:w="7056"/>
            <w:shd w:fill="1F4E79"/>
            <w:vAlign w:val="top"/>
          </w:tcPr>
          <w:p>
            <w:pPr>
              <w:spacing w:after="0"/>
            </w:pPr>
            <w:r/>
            <w:r>
              <w:rPr>
                <w:b/>
                <w:color w:val="FFFFFF"/>
              </w:rPr>
              <w:t>Out of Scope for This Requirement Phase</w:t>
            </w:r>
          </w:p>
        </w:tc>
      </w:tr>
      <w:tr>
        <w:trPr>
          <w:cantSplit/>
        </w:trPr>
        <w:tc>
          <w:tcPr>
            <w:tcW w:type="dxa" w:w="2880"/>
            <w:vAlign w:val="top"/>
          </w:tcPr>
          <w:p>
            <w:pPr>
              <w:spacing w:after="0"/>
            </w:pPr>
            <w:r/>
            <w:r>
              <w:rPr>
                <w:b w:val="0"/>
              </w:rPr>
              <w:t>Technical architecture</w:t>
            </w:r>
          </w:p>
        </w:tc>
        <w:tc>
          <w:tcPr>
            <w:tcW w:type="dxa" w:w="7056"/>
            <w:vAlign w:val="top"/>
          </w:tcPr>
          <w:p>
            <w:pPr>
              <w:spacing w:after="0"/>
            </w:pPr>
            <w:r/>
            <w:r>
              <w:rPr>
                <w:b w:val="0"/>
              </w:rPr>
              <w:t>No cloud architecture, service recommendation, integration design, implementation design, or code is included in this specification.</w:t>
            </w:r>
          </w:p>
        </w:tc>
      </w:tr>
      <w:tr>
        <w:trPr>
          <w:cantSplit/>
        </w:trPr>
        <w:tc>
          <w:tcPr>
            <w:tcW w:type="dxa" w:w="2880"/>
            <w:vAlign w:val="top"/>
          </w:tcPr>
          <w:p>
            <w:pPr>
              <w:spacing w:after="0"/>
            </w:pPr>
            <w:r/>
            <w:r>
              <w:rPr>
                <w:b w:val="0"/>
              </w:rPr>
              <w:t>Security/masking</w:t>
            </w:r>
          </w:p>
        </w:tc>
        <w:tc>
          <w:tcPr>
            <w:tcW w:type="dxa" w:w="7056"/>
            <w:vAlign w:val="top"/>
          </w:tcPr>
          <w:p>
            <w:pPr>
              <w:spacing w:after="0"/>
            </w:pPr>
            <w:r/>
            <w:r>
              <w:rPr>
                <w:b w:val="0"/>
              </w:rPr>
              <w:t>Data classification, anonymization, redaction, and masking requirements will be handled separately later.</w:t>
            </w:r>
          </w:p>
        </w:tc>
      </w:tr>
      <w:tr>
        <w:trPr>
          <w:cantSplit/>
        </w:trPr>
        <w:tc>
          <w:tcPr>
            <w:tcW w:type="dxa" w:w="2880"/>
            <w:vAlign w:val="top"/>
          </w:tcPr>
          <w:p>
            <w:pPr>
              <w:spacing w:after="0"/>
            </w:pPr>
            <w:r/>
            <w:r>
              <w:rPr>
                <w:b w:val="0"/>
              </w:rPr>
              <w:t>Automatic video frame extraction</w:t>
            </w:r>
          </w:p>
        </w:tc>
        <w:tc>
          <w:tcPr>
            <w:tcW w:type="dxa" w:w="7056"/>
            <w:vAlign w:val="top"/>
          </w:tcPr>
          <w:p>
            <w:pPr>
              <w:spacing w:after="0"/>
            </w:pPr>
            <w:r/>
            <w:r>
              <w:rPr>
                <w:b w:val="0"/>
              </w:rPr>
              <w:t>For the first version, do not extract screenshots directly from KT video. Use timestamp placeholders for manual screenshot addition.</w:t>
            </w:r>
          </w:p>
        </w:tc>
      </w:tr>
      <w:tr>
        <w:trPr>
          <w:cantSplit/>
        </w:trPr>
        <w:tc>
          <w:tcPr>
            <w:tcW w:type="dxa" w:w="2880"/>
            <w:vAlign w:val="top"/>
          </w:tcPr>
          <w:p>
            <w:pPr>
              <w:spacing w:after="0"/>
            </w:pPr>
            <w:r/>
            <w:r>
              <w:rPr>
                <w:b w:val="0"/>
              </w:rPr>
              <w:t>Final approval replacement</w:t>
            </w:r>
          </w:p>
        </w:tc>
        <w:tc>
          <w:tcPr>
            <w:tcW w:type="dxa" w:w="7056"/>
            <w:vAlign w:val="top"/>
          </w:tcPr>
          <w:p>
            <w:pPr>
              <w:spacing w:after="0"/>
            </w:pPr>
            <w:r/>
            <w:r>
              <w:rPr>
                <w:b w:val="0"/>
              </w:rPr>
              <w:t>The tool should not replace senior consultant review before customer sharing.</w:t>
            </w:r>
          </w:p>
        </w:tc>
      </w:tr>
      <w:tr>
        <w:trPr>
          <w:cantSplit/>
        </w:trPr>
        <w:tc>
          <w:tcPr>
            <w:tcW w:type="dxa" w:w="2880"/>
            <w:vAlign w:val="top"/>
          </w:tcPr>
          <w:p>
            <w:pPr>
              <w:spacing w:after="0"/>
            </w:pPr>
            <w:r/>
            <w:r>
              <w:rPr>
                <w:b w:val="0"/>
              </w:rPr>
              <w:t>Source traceability everywhere</w:t>
            </w:r>
          </w:p>
        </w:tc>
        <w:tc>
          <w:tcPr>
            <w:tcW w:type="dxa" w:w="7056"/>
            <w:vAlign w:val="top"/>
          </w:tcPr>
          <w:p>
            <w:pPr>
              <w:spacing w:after="0"/>
            </w:pPr>
            <w:r/>
            <w:r>
              <w:rPr>
                <w:b w:val="0"/>
              </w:rPr>
              <w:t>Do not include detailed slide/timestamp traceability for every AUD section.</w:t>
            </w:r>
          </w:p>
        </w:tc>
      </w:tr>
    </w:tbl>
    <w:p/>
    <w:p>
      <w:pPr>
        <w:pStyle w:val="Heading1"/>
      </w:pPr>
      <w:r>
        <w:t>4. Supported Input Types and Their Roles</w:t>
      </w:r>
    </w:p>
    <w:tbl>
      <w:tblPr>
        <w:tblStyle w:val="TableGrid"/>
        <w:tblW w:type="auto" w:w="0"/>
        <w:jc w:val="center"/>
        <w:tblLook w:firstColumn="1" w:firstRow="1" w:lastColumn="0" w:lastRow="0" w:noHBand="0" w:noVBand="1" w:val="04A0"/>
      </w:tblPr>
      <w:tblGrid>
        <w:gridCol w:w="5040"/>
        <w:gridCol w:w="5040"/>
      </w:tblGrid>
      <w:tr>
        <w:trPr>
          <w:cantSplit/>
        </w:trPr>
        <w:tc>
          <w:tcPr>
            <w:tcW w:type="dxa" w:w="3024"/>
            <w:shd w:fill="1F4E79"/>
            <w:vAlign w:val="top"/>
          </w:tcPr>
          <w:p>
            <w:pPr>
              <w:spacing w:after="0"/>
            </w:pPr>
            <w:r/>
            <w:r>
              <w:rPr>
                <w:b/>
                <w:color w:val="FFFFFF"/>
              </w:rPr>
              <w:t>Input Type</w:t>
            </w:r>
          </w:p>
        </w:tc>
        <w:tc>
          <w:tcPr>
            <w:tcW w:type="dxa" w:w="6912"/>
            <w:shd w:fill="1F4E79"/>
            <w:vAlign w:val="top"/>
          </w:tcPr>
          <w:p>
            <w:pPr>
              <w:spacing w:after="0"/>
            </w:pPr>
            <w:r/>
            <w:r>
              <w:rPr>
                <w:b/>
                <w:color w:val="FFFFFF"/>
              </w:rPr>
              <w:t>Business Role in AUD Generation</w:t>
            </w:r>
          </w:p>
        </w:tc>
      </w:tr>
      <w:tr>
        <w:trPr>
          <w:cantSplit/>
        </w:trPr>
        <w:tc>
          <w:tcPr>
            <w:tcW w:type="dxa" w:w="3024"/>
            <w:vAlign w:val="top"/>
          </w:tcPr>
          <w:p>
            <w:pPr>
              <w:spacing w:after="0"/>
            </w:pPr>
            <w:r/>
            <w:r>
              <w:rPr>
                <w:b w:val="0"/>
              </w:rPr>
              <w:t>Template AUD</w:t>
            </w:r>
          </w:p>
        </w:tc>
        <w:tc>
          <w:tcPr>
            <w:tcW w:type="dxa" w:w="6912"/>
            <w:vAlign w:val="top"/>
          </w:tcPr>
          <w:p>
            <w:pPr>
              <w:spacing w:after="0"/>
            </w:pPr>
            <w:r/>
            <w:r>
              <w:rPr>
                <w:b w:val="0"/>
              </w:rPr>
              <w:t>Primary formatting and structure source when explicitly provided. Defines cover page, header/footer, section hierarchy, page layout, logos, TOC/index style, and reusable sections.</w:t>
            </w:r>
          </w:p>
        </w:tc>
      </w:tr>
      <w:tr>
        <w:trPr>
          <w:cantSplit/>
        </w:trPr>
        <w:tc>
          <w:tcPr>
            <w:tcW w:type="dxa" w:w="3024"/>
            <w:vAlign w:val="top"/>
          </w:tcPr>
          <w:p>
            <w:pPr>
              <w:spacing w:after="0"/>
            </w:pPr>
            <w:r/>
            <w:r>
              <w:rPr>
                <w:b w:val="0"/>
              </w:rPr>
              <w:t>Default SCM AUD Template</w:t>
            </w:r>
          </w:p>
        </w:tc>
        <w:tc>
          <w:tcPr>
            <w:tcW w:type="dxa" w:w="6912"/>
            <w:vAlign w:val="top"/>
          </w:tcPr>
          <w:p>
            <w:pPr>
              <w:spacing w:after="0"/>
            </w:pPr>
            <w:r/>
            <w:r>
              <w:rPr>
                <w:b w:val="0"/>
              </w:rPr>
              <w:t>Fallback template used only when no explicit template is provided.</w:t>
            </w:r>
          </w:p>
        </w:tc>
      </w:tr>
      <w:tr>
        <w:trPr>
          <w:cantSplit/>
        </w:trPr>
        <w:tc>
          <w:tcPr>
            <w:tcW w:type="dxa" w:w="3024"/>
            <w:vAlign w:val="top"/>
          </w:tcPr>
          <w:p>
            <w:pPr>
              <w:spacing w:after="0"/>
            </w:pPr>
            <w:r/>
            <w:r>
              <w:rPr>
                <w:b w:val="0"/>
              </w:rPr>
              <w:t>Final manually created AUD sample</w:t>
            </w:r>
          </w:p>
        </w:tc>
        <w:tc>
          <w:tcPr>
            <w:tcW w:type="dxa" w:w="6912"/>
            <w:vAlign w:val="top"/>
          </w:tcPr>
          <w:p>
            <w:pPr>
              <w:spacing w:after="0"/>
            </w:pPr>
            <w:r/>
            <w:r>
              <w:rPr>
                <w:b w:val="0"/>
              </w:rPr>
              <w:t>Used only during requirement analysis or calibration. It is not an actual runtime input because the tool is intended to create the final AUD.</w:t>
            </w:r>
          </w:p>
        </w:tc>
      </w:tr>
      <w:tr>
        <w:trPr>
          <w:cantSplit/>
        </w:trPr>
        <w:tc>
          <w:tcPr>
            <w:tcW w:type="dxa" w:w="3024"/>
            <w:vAlign w:val="top"/>
          </w:tcPr>
          <w:p>
            <w:pPr>
              <w:spacing w:after="0"/>
            </w:pPr>
            <w:r/>
            <w:r>
              <w:rPr>
                <w:b w:val="0"/>
              </w:rPr>
              <w:t>KT PPT</w:t>
            </w:r>
          </w:p>
        </w:tc>
        <w:tc>
          <w:tcPr>
            <w:tcW w:type="dxa" w:w="6912"/>
            <w:vAlign w:val="top"/>
          </w:tcPr>
          <w:p>
            <w:pPr>
              <w:spacing w:after="0"/>
            </w:pPr>
            <w:r/>
            <w:r>
              <w:rPr>
                <w:b w:val="0"/>
              </w:rPr>
              <w:t>Primary topic and visual source. Helps identify section flow, screenshots, tables, process diagrams, configuration topics, and presentation emphasis.</w:t>
            </w:r>
          </w:p>
        </w:tc>
      </w:tr>
      <w:tr>
        <w:trPr>
          <w:cantSplit/>
        </w:trPr>
        <w:tc>
          <w:tcPr>
            <w:tcW w:type="dxa" w:w="3024"/>
            <w:vAlign w:val="top"/>
          </w:tcPr>
          <w:p>
            <w:pPr>
              <w:spacing w:after="0"/>
            </w:pPr>
            <w:r/>
            <w:r>
              <w:rPr>
                <w:b w:val="0"/>
              </w:rPr>
              <w:t>KT video/audio recording</w:t>
            </w:r>
          </w:p>
        </w:tc>
        <w:tc>
          <w:tcPr>
            <w:tcW w:type="dxa" w:w="6912"/>
            <w:vAlign w:val="top"/>
          </w:tcPr>
          <w:p>
            <w:pPr>
              <w:spacing w:after="0"/>
            </w:pPr>
            <w:r/>
            <w:r>
              <w:rPr>
                <w:b w:val="0"/>
              </w:rPr>
              <w:t>Runtime input for transcription. The transcript clarifies presenter explanation, focus, corrections, and Q&amp;A.</w:t>
            </w:r>
          </w:p>
        </w:tc>
      </w:tr>
      <w:tr>
        <w:trPr>
          <w:cantSplit/>
        </w:trPr>
        <w:tc>
          <w:tcPr>
            <w:tcW w:type="dxa" w:w="3024"/>
            <w:vAlign w:val="top"/>
          </w:tcPr>
          <w:p>
            <w:pPr>
              <w:spacing w:after="0"/>
            </w:pPr>
            <w:r/>
            <w:r>
              <w:rPr>
                <w:b w:val="0"/>
              </w:rPr>
              <w:t>KT transcript</w:t>
            </w:r>
          </w:p>
        </w:tc>
        <w:tc>
          <w:tcPr>
            <w:tcW w:type="dxa" w:w="6912"/>
            <w:vAlign w:val="top"/>
          </w:tcPr>
          <w:p>
            <w:pPr>
              <w:spacing w:after="0"/>
            </w:pPr>
            <w:r/>
            <w:r>
              <w:rPr>
                <w:b w:val="0"/>
              </w:rPr>
              <w:t>Used to expand PPT bullets, determine screenshot relevance, capture Q&amp;A, and identify unresolved points.</w:t>
            </w:r>
          </w:p>
        </w:tc>
      </w:tr>
      <w:tr>
        <w:trPr>
          <w:cantSplit/>
        </w:trPr>
        <w:tc>
          <w:tcPr>
            <w:tcW w:type="dxa" w:w="3024"/>
            <w:vAlign w:val="top"/>
          </w:tcPr>
          <w:p>
            <w:pPr>
              <w:spacing w:after="0"/>
            </w:pPr>
            <w:r/>
            <w:r>
              <w:rPr>
                <w:b w:val="0"/>
              </w:rPr>
              <w:t>Configuration workbook</w:t>
            </w:r>
          </w:p>
        </w:tc>
        <w:tc>
          <w:tcPr>
            <w:tcW w:type="dxa" w:w="6912"/>
            <w:vAlign w:val="top"/>
          </w:tcPr>
          <w:p>
            <w:pPr>
              <w:spacing w:after="0"/>
            </w:pPr>
            <w:r/>
            <w:r>
              <w:rPr>
                <w:b w:val="0"/>
              </w:rPr>
              <w:t>Detailed setup/configuration source used to validate and enrich relevant sections. Must not be copied blindly.</w:t>
            </w:r>
          </w:p>
        </w:tc>
      </w:tr>
      <w:tr>
        <w:trPr>
          <w:cantSplit/>
        </w:trPr>
        <w:tc>
          <w:tcPr>
            <w:tcW w:type="dxa" w:w="3024"/>
            <w:vAlign w:val="top"/>
          </w:tcPr>
          <w:p>
            <w:pPr>
              <w:spacing w:after="0"/>
            </w:pPr>
            <w:r/>
            <w:r>
              <w:rPr>
                <w:b w:val="0"/>
              </w:rPr>
              <w:t>FDD / Functional Document</w:t>
            </w:r>
          </w:p>
        </w:tc>
        <w:tc>
          <w:tcPr>
            <w:tcW w:type="dxa" w:w="6912"/>
            <w:vAlign w:val="top"/>
          </w:tcPr>
          <w:p>
            <w:pPr>
              <w:spacing w:after="0"/>
            </w:pPr>
            <w:r/>
            <w:r>
              <w:rPr>
                <w:b w:val="0"/>
              </w:rPr>
              <w:t>Golden source when provided. Used as the highest-priority content source for the process or area it covers.</w:t>
            </w:r>
          </w:p>
        </w:tc>
      </w:tr>
      <w:tr>
        <w:trPr>
          <w:cantSplit/>
        </w:trPr>
        <w:tc>
          <w:tcPr>
            <w:tcW w:type="dxa" w:w="3024"/>
            <w:vAlign w:val="top"/>
          </w:tcPr>
          <w:p>
            <w:pPr>
              <w:spacing w:after="0"/>
            </w:pPr>
            <w:r/>
            <w:r>
              <w:rPr>
                <w:b w:val="0"/>
              </w:rPr>
              <w:t>Visual flow documents</w:t>
            </w:r>
          </w:p>
        </w:tc>
        <w:tc>
          <w:tcPr>
            <w:tcW w:type="dxa" w:w="6912"/>
            <w:vAlign w:val="top"/>
          </w:tcPr>
          <w:p>
            <w:pPr>
              <w:spacing w:after="0"/>
            </w:pPr>
            <w:r/>
            <w:r>
              <w:rPr>
                <w:b w:val="0"/>
              </w:rPr>
              <w:t>Source for process diagrams and flow-specific explanations.</w:t>
            </w:r>
          </w:p>
        </w:tc>
      </w:tr>
      <w:tr>
        <w:trPr>
          <w:cantSplit/>
        </w:trPr>
        <w:tc>
          <w:tcPr>
            <w:tcW w:type="dxa" w:w="3024"/>
            <w:vAlign w:val="top"/>
          </w:tcPr>
          <w:p>
            <w:pPr>
              <w:spacing w:after="0"/>
            </w:pPr>
            <w:r/>
            <w:r>
              <w:rPr>
                <w:b w:val="0"/>
              </w:rPr>
              <w:t>Other supporting documents</w:t>
            </w:r>
          </w:p>
        </w:tc>
        <w:tc>
          <w:tcPr>
            <w:tcW w:type="dxa" w:w="6912"/>
            <w:vAlign w:val="top"/>
          </w:tcPr>
          <w:p>
            <w:pPr>
              <w:spacing w:after="0"/>
            </w:pPr>
            <w:r/>
            <w:r>
              <w:rPr>
                <w:b w:val="0"/>
              </w:rPr>
              <w:t>Used when they provide relevant customer/project-specific information.</w:t>
            </w:r>
          </w:p>
        </w:tc>
      </w:tr>
      <w:tr>
        <w:trPr>
          <w:cantSplit/>
        </w:trPr>
        <w:tc>
          <w:tcPr>
            <w:tcW w:type="dxa" w:w="3024"/>
            <w:vAlign w:val="top"/>
          </w:tcPr>
          <w:p>
            <w:pPr>
              <w:spacing w:after="0"/>
            </w:pPr>
            <w:r/>
            <w:r>
              <w:rPr>
                <w:b w:val="0"/>
              </w:rPr>
              <w:t>User metadata from UI</w:t>
            </w:r>
          </w:p>
        </w:tc>
        <w:tc>
          <w:tcPr>
            <w:tcW w:type="dxa" w:w="6912"/>
            <w:vAlign w:val="top"/>
          </w:tcPr>
          <w:p>
            <w:pPr>
              <w:spacing w:after="0"/>
            </w:pPr>
            <w:r/>
            <w:r>
              <w:rPr>
                <w:b w:val="0"/>
              </w:rPr>
              <w:t>Client name, SCM module names, author/reviewer details, project metadata, modules licensed/implemented, and optional enterprise-structure image.</w:t>
            </w:r>
          </w:p>
        </w:tc>
      </w:tr>
    </w:tbl>
    <w:p/>
    <w:p>
      <w:pPr>
        <w:pStyle w:val="Heading1"/>
      </w:pPr>
      <w:r>
        <w:t>5. Source Priority and Conflict Resolution Rules</w:t>
      </w:r>
    </w:p>
    <w:p>
      <w:r>
        <w:t>The tool must not treat all files as equal. Source priority depends on the content type and the process area being generated.</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080"/>
            <w:shd w:fill="1F4E79"/>
            <w:vAlign w:val="top"/>
          </w:tcPr>
          <w:p>
            <w:pPr>
              <w:spacing w:after="0"/>
            </w:pPr>
            <w:r/>
            <w:r>
              <w:rPr>
                <w:b/>
                <w:color w:val="FFFFFF"/>
              </w:rPr>
              <w:t>Priority</w:t>
            </w:r>
          </w:p>
        </w:tc>
        <w:tc>
          <w:tcPr>
            <w:tcW w:type="dxa" w:w="3024"/>
            <w:shd w:fill="1F4E79"/>
            <w:vAlign w:val="top"/>
          </w:tcPr>
          <w:p>
            <w:pPr>
              <w:spacing w:after="0"/>
            </w:pPr>
            <w:r/>
            <w:r>
              <w:rPr>
                <w:b/>
                <w:color w:val="FFFFFF"/>
              </w:rPr>
              <w:t>Source</w:t>
            </w:r>
          </w:p>
        </w:tc>
        <w:tc>
          <w:tcPr>
            <w:tcW w:type="dxa" w:w="5832"/>
            <w:shd w:fill="1F4E79"/>
            <w:vAlign w:val="top"/>
          </w:tcPr>
          <w:p>
            <w:pPr>
              <w:spacing w:after="0"/>
            </w:pPr>
            <w:r/>
            <w:r>
              <w:rPr>
                <w:b/>
                <w:color w:val="FFFFFF"/>
              </w:rPr>
              <w:t>Rule</w:t>
            </w:r>
          </w:p>
        </w:tc>
      </w:tr>
      <w:tr>
        <w:trPr>
          <w:cantSplit/>
        </w:trPr>
        <w:tc>
          <w:tcPr>
            <w:tcW w:type="dxa" w:w="1080"/>
            <w:vAlign w:val="top"/>
          </w:tcPr>
          <w:p>
            <w:pPr>
              <w:spacing w:after="0"/>
            </w:pPr>
            <w:r/>
            <w:r>
              <w:rPr>
                <w:b w:val="0"/>
              </w:rPr>
              <w:t>1</w:t>
            </w:r>
          </w:p>
        </w:tc>
        <w:tc>
          <w:tcPr>
            <w:tcW w:type="dxa" w:w="3024"/>
            <w:vAlign w:val="top"/>
          </w:tcPr>
          <w:p>
            <w:pPr>
              <w:spacing w:after="0"/>
            </w:pPr>
            <w:r/>
            <w:r>
              <w:rPr>
                <w:b w:val="0"/>
              </w:rPr>
              <w:t>FDD / Functional Document</w:t>
            </w:r>
          </w:p>
        </w:tc>
        <w:tc>
          <w:tcPr>
            <w:tcW w:type="dxa" w:w="5832"/>
            <w:vAlign w:val="top"/>
          </w:tcPr>
          <w:p>
            <w:pPr>
              <w:spacing w:after="0"/>
            </w:pPr>
            <w:r/>
            <w:r>
              <w:rPr>
                <w:b w:val="0"/>
              </w:rPr>
              <w:t>If an FDD is provided, treat it as the golden source for the process or functional area it covers. If the FDD conflicts with the KT transcript, PPT, or configuration workbook, the FDD takes priority.</w:t>
            </w:r>
          </w:p>
        </w:tc>
      </w:tr>
      <w:tr>
        <w:trPr>
          <w:cantSplit/>
        </w:trPr>
        <w:tc>
          <w:tcPr>
            <w:tcW w:type="dxa" w:w="1080"/>
            <w:vAlign w:val="top"/>
          </w:tcPr>
          <w:p>
            <w:pPr>
              <w:spacing w:after="0"/>
            </w:pPr>
            <w:r/>
            <w:r>
              <w:rPr>
                <w:b w:val="0"/>
              </w:rPr>
              <w:t>2</w:t>
            </w:r>
          </w:p>
        </w:tc>
        <w:tc>
          <w:tcPr>
            <w:tcW w:type="dxa" w:w="3024"/>
            <w:vAlign w:val="top"/>
          </w:tcPr>
          <w:p>
            <w:pPr>
              <w:spacing w:after="0"/>
            </w:pPr>
            <w:r/>
            <w:r>
              <w:rPr>
                <w:b w:val="0"/>
              </w:rPr>
              <w:t>Explicit template AUD</w:t>
            </w:r>
          </w:p>
        </w:tc>
        <w:tc>
          <w:tcPr>
            <w:tcW w:type="dxa" w:w="5832"/>
            <w:vAlign w:val="top"/>
          </w:tcPr>
          <w:p>
            <w:pPr>
              <w:spacing w:after="0"/>
            </w:pPr>
            <w:r/>
            <w:r>
              <w:rPr>
                <w:b w:val="0"/>
              </w:rPr>
              <w:t>Controls format and structure when provided, but does not override factual content from the FDD.</w:t>
            </w:r>
          </w:p>
        </w:tc>
      </w:tr>
      <w:tr>
        <w:trPr>
          <w:cantSplit/>
        </w:trPr>
        <w:tc>
          <w:tcPr>
            <w:tcW w:type="dxa" w:w="1080"/>
            <w:vAlign w:val="top"/>
          </w:tcPr>
          <w:p>
            <w:pPr>
              <w:spacing w:after="0"/>
            </w:pPr>
            <w:r/>
            <w:r>
              <w:rPr>
                <w:b w:val="0"/>
              </w:rPr>
              <w:t>3</w:t>
            </w:r>
          </w:p>
        </w:tc>
        <w:tc>
          <w:tcPr>
            <w:tcW w:type="dxa" w:w="3024"/>
            <w:vAlign w:val="top"/>
          </w:tcPr>
          <w:p>
            <w:pPr>
              <w:spacing w:after="0"/>
            </w:pPr>
            <w:r/>
            <w:r>
              <w:rPr>
                <w:b w:val="0"/>
              </w:rPr>
              <w:t>Project/customer documents such as PPT, configuration workbook, visual flow documents, and supporting documents</w:t>
            </w:r>
          </w:p>
        </w:tc>
        <w:tc>
          <w:tcPr>
            <w:tcW w:type="dxa" w:w="5832"/>
            <w:vAlign w:val="top"/>
          </w:tcPr>
          <w:p>
            <w:pPr>
              <w:spacing w:after="0"/>
            </w:pPr>
            <w:r/>
            <w:r>
              <w:rPr>
                <w:b w:val="0"/>
              </w:rPr>
              <w:t>Primary factual sources when no FDD exists or for areas not covered by the FDD.</w:t>
            </w:r>
          </w:p>
        </w:tc>
      </w:tr>
      <w:tr>
        <w:trPr>
          <w:cantSplit/>
        </w:trPr>
        <w:tc>
          <w:tcPr>
            <w:tcW w:type="dxa" w:w="1080"/>
            <w:vAlign w:val="top"/>
          </w:tcPr>
          <w:p>
            <w:pPr>
              <w:spacing w:after="0"/>
            </w:pPr>
            <w:r/>
            <w:r>
              <w:rPr>
                <w:b w:val="0"/>
              </w:rPr>
              <w:t>4</w:t>
            </w:r>
          </w:p>
        </w:tc>
        <w:tc>
          <w:tcPr>
            <w:tcW w:type="dxa" w:w="3024"/>
            <w:vAlign w:val="top"/>
          </w:tcPr>
          <w:p>
            <w:pPr>
              <w:spacing w:after="0"/>
            </w:pPr>
            <w:r/>
            <w:r>
              <w:rPr>
                <w:b w:val="0"/>
              </w:rPr>
              <w:t>KT transcript</w:t>
            </w:r>
          </w:p>
        </w:tc>
        <w:tc>
          <w:tcPr>
            <w:tcW w:type="dxa" w:w="5832"/>
            <w:vAlign w:val="top"/>
          </w:tcPr>
          <w:p>
            <w:pPr>
              <w:spacing w:after="0"/>
            </w:pPr>
            <w:r/>
            <w:r>
              <w:rPr>
                <w:b w:val="0"/>
              </w:rPr>
              <w:t>Used to clarify, enrich, and identify presenter emphasis. It overrides a project document only when the presenter explicitly says the document is incorrect, outdated, or should be ignored.</w:t>
            </w:r>
          </w:p>
        </w:tc>
      </w:tr>
      <w:tr>
        <w:trPr>
          <w:cantSplit/>
        </w:trPr>
        <w:tc>
          <w:tcPr>
            <w:tcW w:type="dxa" w:w="1080"/>
            <w:vAlign w:val="top"/>
          </w:tcPr>
          <w:p>
            <w:pPr>
              <w:spacing w:after="0"/>
            </w:pPr>
            <w:r/>
            <w:r>
              <w:rPr>
                <w:b w:val="0"/>
              </w:rPr>
              <w:t>5</w:t>
            </w:r>
          </w:p>
        </w:tc>
        <w:tc>
          <w:tcPr>
            <w:tcW w:type="dxa" w:w="3024"/>
            <w:vAlign w:val="top"/>
          </w:tcPr>
          <w:p>
            <w:pPr>
              <w:spacing w:after="0"/>
            </w:pPr>
            <w:r/>
            <w:r>
              <w:rPr>
                <w:b w:val="0"/>
              </w:rPr>
              <w:t>Default SCM AUD template</w:t>
            </w:r>
          </w:p>
        </w:tc>
        <w:tc>
          <w:tcPr>
            <w:tcW w:type="dxa" w:w="5832"/>
            <w:vAlign w:val="top"/>
          </w:tcPr>
          <w:p>
            <w:pPr>
              <w:spacing w:after="0"/>
            </w:pPr>
            <w:r/>
            <w:r>
              <w:rPr>
                <w:b w:val="0"/>
              </w:rPr>
              <w:t>Used only when no explicit template is provided.</w:t>
            </w:r>
          </w:p>
        </w:tc>
      </w:tr>
      <w:tr>
        <w:trPr>
          <w:cantSplit/>
        </w:trPr>
        <w:tc>
          <w:tcPr>
            <w:tcW w:type="dxa" w:w="1080"/>
            <w:vAlign w:val="top"/>
          </w:tcPr>
          <w:p>
            <w:pPr>
              <w:spacing w:after="0"/>
            </w:pPr>
            <w:r/>
            <w:r>
              <w:rPr>
                <w:b w:val="0"/>
              </w:rPr>
              <w:t>6</w:t>
            </w:r>
          </w:p>
        </w:tc>
        <w:tc>
          <w:tcPr>
            <w:tcW w:type="dxa" w:w="3024"/>
            <w:vAlign w:val="top"/>
          </w:tcPr>
          <w:p>
            <w:pPr>
              <w:spacing w:after="0"/>
            </w:pPr>
            <w:r/>
            <w:r>
              <w:rPr>
                <w:b w:val="0"/>
              </w:rPr>
              <w:t>Final AUD samples</w:t>
            </w:r>
          </w:p>
        </w:tc>
        <w:tc>
          <w:tcPr>
            <w:tcW w:type="dxa" w:w="5832"/>
            <w:vAlign w:val="top"/>
          </w:tcPr>
          <w:p>
            <w:pPr>
              <w:spacing w:after="0"/>
            </w:pPr>
            <w:r/>
            <w:r>
              <w:rPr>
                <w:b w:val="0"/>
              </w:rPr>
              <w:t>Used only for style and expectation calibration during requirement analysis, not as runtime content inputs.</w:t>
            </w:r>
          </w:p>
        </w:tc>
      </w:tr>
    </w:tbl>
    <w:p/>
    <w:p>
      <w:pPr>
        <w:pStyle w:val="Heading2"/>
      </w:pPr>
      <w:r>
        <w:t>5.1 Conflict Handling Rules</w:t>
      </w:r>
    </w:p>
    <w:p>
      <w:pPr>
        <w:pStyle w:val="ListBullet"/>
      </w:pPr>
      <w:r>
        <w:t>If FDD conflicts with any other source, use the FDD.</w:t>
      </w:r>
    </w:p>
    <w:p>
      <w:pPr>
        <w:pStyle w:val="ListBullet"/>
      </w:pPr>
      <w:r>
        <w:t>If there is no FDD and the transcript explicitly corrects a PPT/workbook value, use the transcript for that specific corrected point.</w:t>
      </w:r>
    </w:p>
    <w:p>
      <w:pPr>
        <w:pStyle w:val="ListBullet"/>
      </w:pPr>
      <w:r>
        <w:t>If PPT and configuration workbook conflict and the transcript does not resolve it, do not guess; place the conflict in Open Points.</w:t>
      </w:r>
    </w:p>
    <w:p>
      <w:pPr>
        <w:pStyle w:val="ListBullet"/>
      </w:pPr>
      <w:r>
        <w:t>If a source has resolved comments or final aligned wording, use the resolved wording.</w:t>
      </w:r>
    </w:p>
    <w:p>
      <w:pPr>
        <w:pStyle w:val="ListBullet"/>
      </w:pPr>
      <w:r>
        <w:t>If a source contains unresolved comments, “needs more discussion,” or pending confirmation, do not present it as fact; move it to Open Points if relevant.</w:t>
      </w:r>
    </w:p>
    <w:p>
      <w:pPr>
        <w:pStyle w:val="ListBullet"/>
      </w:pPr>
      <w:r>
        <w:t>Do not use generic Oracle knowledge to fill missing customer/project-specific facts.</w:t>
      </w:r>
    </w:p>
    <w:p>
      <w:pPr>
        <w:pStyle w:val="Heading1"/>
      </w:pPr>
      <w:r>
        <w:t>6. Output AUD Requirements</w:t>
      </w:r>
    </w:p>
    <w:p>
      <w:pPr>
        <w:pStyle w:val="ListBullet"/>
      </w:pPr>
      <w:r>
        <w:t>The output must be an editable Microsoft Word document.</w:t>
      </w:r>
    </w:p>
    <w:p>
      <w:pPr>
        <w:pStyle w:val="ListBullet"/>
      </w:pPr>
      <w:r>
        <w:t>The generated AUD should be close to final-ready but must remain subject to senior consultant review.</w:t>
      </w:r>
    </w:p>
    <w:p>
      <w:pPr>
        <w:pStyle w:val="ListBullet"/>
      </w:pPr>
      <w:r>
        <w:t>The AUD should follow the uploaded template when one is provided.</w:t>
      </w:r>
    </w:p>
    <w:p>
      <w:pPr>
        <w:pStyle w:val="ListBullet"/>
      </w:pPr>
      <w:r>
        <w:t>If no template is provided, the tool should use the default SCM AUD template.</w:t>
      </w:r>
    </w:p>
    <w:p>
      <w:pPr>
        <w:pStyle w:val="ListBullet"/>
      </w:pPr>
      <w:r>
        <w:t>The output should preserve the selected template’s cover page style, section hierarchy, table styles, header/footer style, TOC/index approach, and overall document tone as closely as practical.</w:t>
      </w:r>
    </w:p>
    <w:p>
      <w:pPr>
        <w:pStyle w:val="ListBullet"/>
      </w:pPr>
      <w:r>
        <w:t>The generated document should not include unsupported sections or force-fill missing content.</w:t>
      </w:r>
    </w:p>
    <w:p>
      <w:pPr>
        <w:pStyle w:val="ListBullet"/>
      </w:pPr>
      <w:r>
        <w:t>The generated document should not include source-traceability references throughout, except timestamp placeholders in Open Points when manual screenshots are required.</w:t>
      </w:r>
    </w:p>
    <w:p>
      <w:pPr>
        <w:pStyle w:val="Heading1"/>
      </w:pPr>
      <w:r>
        <w:t>7. Document Structure and Template Rules</w:t>
      </w:r>
    </w:p>
    <w:tbl>
      <w:tblPr>
        <w:tblStyle w:val="TableGrid"/>
        <w:tblW w:type="auto" w:w="0"/>
        <w:jc w:val="center"/>
        <w:tblLook w:firstColumn="1" w:firstRow="1" w:lastColumn="0" w:lastRow="0" w:noHBand="0" w:noVBand="1" w:val="04A0"/>
      </w:tblPr>
      <w:tblGrid>
        <w:gridCol w:w="5040"/>
        <w:gridCol w:w="5040"/>
      </w:tblGrid>
      <w:tr>
        <w:trPr>
          <w:cantSplit/>
        </w:trPr>
        <w:tc>
          <w:tcPr>
            <w:tcW w:type="dxa" w:w="2592"/>
            <w:shd w:fill="1F4E79"/>
            <w:vAlign w:val="top"/>
          </w:tcPr>
          <w:p>
            <w:pPr>
              <w:spacing w:after="0"/>
            </w:pPr>
            <w:r/>
            <w:r>
              <w:rPr>
                <w:b/>
                <w:color w:val="FFFFFF"/>
              </w:rPr>
              <w:t>Document Element</w:t>
            </w:r>
          </w:p>
        </w:tc>
        <w:tc>
          <w:tcPr>
            <w:tcW w:type="dxa" w:w="7344"/>
            <w:shd w:fill="1F4E79"/>
            <w:vAlign w:val="top"/>
          </w:tcPr>
          <w:p>
            <w:pPr>
              <w:spacing w:after="0"/>
            </w:pPr>
            <w:r/>
            <w:r>
              <w:rPr>
                <w:b/>
                <w:color w:val="FFFFFF"/>
              </w:rPr>
              <w:t>Requirement</w:t>
            </w:r>
          </w:p>
        </w:tc>
      </w:tr>
      <w:tr>
        <w:trPr>
          <w:cantSplit/>
        </w:trPr>
        <w:tc>
          <w:tcPr>
            <w:tcW w:type="dxa" w:w="2592"/>
            <w:vAlign w:val="top"/>
          </w:tcPr>
          <w:p>
            <w:pPr>
              <w:spacing w:after="0"/>
            </w:pPr>
            <w:r/>
            <w:r>
              <w:rPr>
                <w:b w:val="0"/>
              </w:rPr>
              <w:t>Cover page</w:t>
            </w:r>
          </w:p>
        </w:tc>
        <w:tc>
          <w:tcPr>
            <w:tcW w:type="dxa" w:w="7344"/>
            <w:vAlign w:val="top"/>
          </w:tcPr>
          <w:p>
            <w:pPr>
              <w:spacing w:after="0"/>
            </w:pPr>
            <w:r/>
            <w:r>
              <w:rPr>
                <w:b w:val="0"/>
              </w:rPr>
              <w:t>Use template-driven cover page. If no explicit template is provided, keep Oracle logo, Customer Success Services, client name, AUD title, Oracle Fusion Cloud module name, version, Oracle CSS Team, and date as per the default SCM template.</w:t>
            </w:r>
          </w:p>
        </w:tc>
      </w:tr>
      <w:tr>
        <w:trPr>
          <w:cantSplit/>
        </w:trPr>
        <w:tc>
          <w:tcPr>
            <w:tcW w:type="dxa" w:w="2592"/>
            <w:vAlign w:val="top"/>
          </w:tcPr>
          <w:p>
            <w:pPr>
              <w:spacing w:after="0"/>
            </w:pPr>
            <w:r/>
            <w:r>
              <w:rPr>
                <w:b w:val="0"/>
              </w:rPr>
              <w:t>Customer logo</w:t>
            </w:r>
          </w:p>
        </w:tc>
        <w:tc>
          <w:tcPr>
            <w:tcW w:type="dxa" w:w="7344"/>
            <w:vAlign w:val="top"/>
          </w:tcPr>
          <w:p>
            <w:pPr>
              <w:spacing w:after="0"/>
            </w:pPr>
            <w:r/>
            <w:r>
              <w:rPr>
                <w:b w:val="0"/>
              </w:rPr>
              <w:t>If provided, place according to the template structure. If exact placement is unclear, leave a suitable placeholder.</w:t>
            </w:r>
          </w:p>
        </w:tc>
      </w:tr>
      <w:tr>
        <w:trPr>
          <w:cantSplit/>
        </w:trPr>
        <w:tc>
          <w:tcPr>
            <w:tcW w:type="dxa" w:w="2592"/>
            <w:vAlign w:val="top"/>
          </w:tcPr>
          <w:p>
            <w:pPr>
              <w:spacing w:after="0"/>
            </w:pPr>
            <w:r/>
            <w:r>
              <w:rPr>
                <w:b w:val="0"/>
              </w:rPr>
              <w:t>Version history</w:t>
            </w:r>
          </w:p>
        </w:tc>
        <w:tc>
          <w:tcPr>
            <w:tcW w:type="dxa" w:w="7344"/>
            <w:vAlign w:val="top"/>
          </w:tcPr>
          <w:p>
            <w:pPr>
              <w:spacing w:after="0"/>
            </w:pPr>
            <w:r/>
            <w:r>
              <w:rPr>
                <w:b w:val="0"/>
              </w:rPr>
              <w:t>Start at Version 1.0. Author/reviewer values should come from user input. Leave fields blank if not provided.</w:t>
            </w:r>
          </w:p>
        </w:tc>
      </w:tr>
      <w:tr>
        <w:trPr>
          <w:cantSplit/>
        </w:trPr>
        <w:tc>
          <w:tcPr>
            <w:tcW w:type="dxa" w:w="2592"/>
            <w:vAlign w:val="top"/>
          </w:tcPr>
          <w:p>
            <w:pPr>
              <w:spacing w:after="0"/>
            </w:pPr>
            <w:r/>
            <w:r>
              <w:rPr>
                <w:b w:val="0"/>
              </w:rPr>
              <w:t>Table of contents/index</w:t>
            </w:r>
          </w:p>
        </w:tc>
        <w:tc>
          <w:tcPr>
            <w:tcW w:type="dxa" w:w="7344"/>
            <w:vAlign w:val="top"/>
          </w:tcPr>
          <w:p>
            <w:pPr>
              <w:spacing w:after="0"/>
            </w:pPr>
            <w:r/>
            <w:r>
              <w:rPr>
                <w:b w:val="0"/>
              </w:rPr>
              <w:t>Follow the provided template style. Support automatic TOC or manually styled index depending on template.</w:t>
            </w:r>
          </w:p>
        </w:tc>
      </w:tr>
      <w:tr>
        <w:trPr>
          <w:cantSplit/>
        </w:trPr>
        <w:tc>
          <w:tcPr>
            <w:tcW w:type="dxa" w:w="2592"/>
            <w:vAlign w:val="top"/>
          </w:tcPr>
          <w:p>
            <w:pPr>
              <w:spacing w:after="0"/>
            </w:pPr>
            <w:r/>
            <w:r>
              <w:rPr>
                <w:b w:val="0"/>
              </w:rPr>
              <w:t>Purpose and scope</w:t>
            </w:r>
          </w:p>
        </w:tc>
        <w:tc>
          <w:tcPr>
            <w:tcW w:type="dxa" w:w="7344"/>
            <w:vAlign w:val="top"/>
          </w:tcPr>
          <w:p>
            <w:pPr>
              <w:spacing w:after="0"/>
            </w:pPr>
            <w:r/>
            <w:r>
              <w:rPr>
                <w:b w:val="0"/>
              </w:rPr>
              <w:t>May use standard approved wording combined with client/module-specific content from source documents. Do not add unsupported KT dates/session details.</w:t>
            </w:r>
          </w:p>
        </w:tc>
      </w:tr>
      <w:tr>
        <w:trPr>
          <w:cantSplit/>
        </w:trPr>
        <w:tc>
          <w:tcPr>
            <w:tcW w:type="dxa" w:w="2592"/>
            <w:vAlign w:val="top"/>
          </w:tcPr>
          <w:p>
            <w:pPr>
              <w:spacing w:after="0"/>
            </w:pPr>
            <w:r/>
            <w:r>
              <w:rPr>
                <w:b w:val="0"/>
              </w:rPr>
              <w:t>About the Customer</w:t>
            </w:r>
          </w:p>
        </w:tc>
        <w:tc>
          <w:tcPr>
            <w:tcW w:type="dxa" w:w="7344"/>
            <w:vAlign w:val="top"/>
          </w:tcPr>
          <w:p>
            <w:pPr>
              <w:spacing w:after="0"/>
            </w:pPr>
            <w:r/>
            <w:r>
              <w:rPr>
                <w:b w:val="0"/>
              </w:rPr>
              <w:t>If a customer description is not available, use a placeholder; do not generate unsupported company background.</w:t>
            </w:r>
          </w:p>
        </w:tc>
      </w:tr>
      <w:tr>
        <w:trPr>
          <w:cantSplit/>
        </w:trPr>
        <w:tc>
          <w:tcPr>
            <w:tcW w:type="dxa" w:w="2592"/>
            <w:vAlign w:val="top"/>
          </w:tcPr>
          <w:p>
            <w:pPr>
              <w:spacing w:after="0"/>
            </w:pPr>
            <w:r/>
            <w:r>
              <w:rPr>
                <w:b w:val="0"/>
              </w:rPr>
              <w:t>Modules Licensed/Implemented</w:t>
            </w:r>
          </w:p>
        </w:tc>
        <w:tc>
          <w:tcPr>
            <w:tcW w:type="dxa" w:w="7344"/>
            <w:vAlign w:val="top"/>
          </w:tcPr>
          <w:p>
            <w:pPr>
              <w:spacing w:after="0"/>
            </w:pPr>
            <w:r/>
            <w:r>
              <w:rPr>
                <w:b w:val="0"/>
              </w:rPr>
              <w:t>Populate from user input or confirmed source material.</w:t>
            </w:r>
          </w:p>
        </w:tc>
      </w:tr>
      <w:tr>
        <w:trPr>
          <w:cantSplit/>
        </w:trPr>
        <w:tc>
          <w:tcPr>
            <w:tcW w:type="dxa" w:w="2592"/>
            <w:vAlign w:val="top"/>
          </w:tcPr>
          <w:p>
            <w:pPr>
              <w:spacing w:after="0"/>
            </w:pPr>
            <w:r/>
            <w:r>
              <w:rPr>
                <w:b w:val="0"/>
              </w:rPr>
              <w:t>Enterprise Structure</w:t>
            </w:r>
          </w:p>
        </w:tc>
        <w:tc>
          <w:tcPr>
            <w:tcW w:type="dxa" w:w="7344"/>
            <w:vAlign w:val="top"/>
          </w:tcPr>
          <w:p>
            <w:pPr>
              <w:spacing w:after="0"/>
            </w:pPr>
            <w:r/>
            <w:r>
              <w:rPr>
                <w:b w:val="0"/>
              </w:rPr>
              <w:t>Include only when source information or uploaded enterprise-structure image is available. Do not invent Business Unit, Legal Entity, or hierarchy.</w:t>
            </w:r>
          </w:p>
        </w:tc>
      </w:tr>
      <w:tr>
        <w:trPr>
          <w:cantSplit/>
        </w:trPr>
        <w:tc>
          <w:tcPr>
            <w:tcW w:type="dxa" w:w="2592"/>
            <w:vAlign w:val="top"/>
          </w:tcPr>
          <w:p>
            <w:pPr>
              <w:spacing w:after="0"/>
            </w:pPr>
            <w:r/>
            <w:r>
              <w:rPr>
                <w:b w:val="0"/>
              </w:rPr>
              <w:t>Process List</w:t>
            </w:r>
          </w:p>
        </w:tc>
        <w:tc>
          <w:tcPr>
            <w:tcW w:type="dxa" w:w="7344"/>
            <w:vAlign w:val="top"/>
          </w:tcPr>
          <w:p>
            <w:pPr>
              <w:spacing w:after="0"/>
            </w:pPr>
            <w:r/>
            <w:r>
              <w:rPr>
                <w:b w:val="0"/>
              </w:rPr>
              <w:t>Include based on KT/PPT/FDD/supporting documents. Omit Process Business Owners if not available.</w:t>
            </w:r>
          </w:p>
        </w:tc>
      </w:tr>
      <w:tr>
        <w:trPr>
          <w:cantSplit/>
        </w:trPr>
        <w:tc>
          <w:tcPr>
            <w:tcW w:type="dxa" w:w="2592"/>
            <w:vAlign w:val="top"/>
          </w:tcPr>
          <w:p>
            <w:pPr>
              <w:spacing w:after="0"/>
            </w:pPr>
            <w:r/>
            <w:r>
              <w:rPr>
                <w:b w:val="0"/>
              </w:rPr>
              <w:t>Roles and functions</w:t>
            </w:r>
          </w:p>
        </w:tc>
        <w:tc>
          <w:tcPr>
            <w:tcW w:type="dxa" w:w="7344"/>
            <w:vAlign w:val="top"/>
          </w:tcPr>
          <w:p>
            <w:pPr>
              <w:spacing w:after="0"/>
            </w:pPr>
            <w:r/>
            <w:r>
              <w:rPr>
                <w:b w:val="0"/>
              </w:rPr>
              <w:t>Include only if roles/functions are available and confidence is sufficient. Do not infer unsupported roles.</w:t>
            </w:r>
          </w:p>
        </w:tc>
      </w:tr>
      <w:tr>
        <w:trPr>
          <w:cantSplit/>
        </w:trPr>
        <w:tc>
          <w:tcPr>
            <w:tcW w:type="dxa" w:w="2592"/>
            <w:vAlign w:val="top"/>
          </w:tcPr>
          <w:p>
            <w:pPr>
              <w:spacing w:after="0"/>
            </w:pPr>
            <w:r/>
            <w:r>
              <w:rPr>
                <w:b w:val="0"/>
              </w:rPr>
              <w:t>Legend</w:t>
            </w:r>
          </w:p>
        </w:tc>
        <w:tc>
          <w:tcPr>
            <w:tcW w:type="dxa" w:w="7344"/>
            <w:vAlign w:val="top"/>
          </w:tcPr>
          <w:p>
            <w:pPr>
              <w:spacing w:after="0"/>
            </w:pPr>
            <w:r/>
            <w:r>
              <w:rPr>
                <w:b w:val="0"/>
              </w:rPr>
              <w:t>Include when relevant, especially where process diagrams require it.</w:t>
            </w:r>
          </w:p>
        </w:tc>
      </w:tr>
      <w:tr>
        <w:trPr>
          <w:cantSplit/>
        </w:trPr>
        <w:tc>
          <w:tcPr>
            <w:tcW w:type="dxa" w:w="2592"/>
            <w:vAlign w:val="top"/>
          </w:tcPr>
          <w:p>
            <w:pPr>
              <w:spacing w:after="0"/>
            </w:pPr>
            <w:r/>
            <w:r>
              <w:rPr>
                <w:b w:val="0"/>
              </w:rPr>
              <w:t>Glossary</w:t>
            </w:r>
          </w:p>
        </w:tc>
        <w:tc>
          <w:tcPr>
            <w:tcW w:type="dxa" w:w="7344"/>
            <w:vAlign w:val="top"/>
          </w:tcPr>
          <w:p>
            <w:pPr>
              <w:spacing w:after="0"/>
            </w:pPr>
            <w:r/>
            <w:r>
              <w:rPr>
                <w:b w:val="0"/>
              </w:rPr>
              <w:t>Generate from acronyms/terms present in input material only. Do not add common SCM acronyms unless they appear in the inputs.</w:t>
            </w:r>
          </w:p>
        </w:tc>
      </w:tr>
      <w:tr>
        <w:trPr>
          <w:cantSplit/>
        </w:trPr>
        <w:tc>
          <w:tcPr>
            <w:tcW w:type="dxa" w:w="2592"/>
            <w:vAlign w:val="top"/>
          </w:tcPr>
          <w:p>
            <w:pPr>
              <w:spacing w:after="0"/>
            </w:pPr>
            <w:r/>
            <w:r>
              <w:rPr>
                <w:b w:val="0"/>
              </w:rPr>
              <w:t>Reporting/RICEW</w:t>
            </w:r>
          </w:p>
        </w:tc>
        <w:tc>
          <w:tcPr>
            <w:tcW w:type="dxa" w:w="7344"/>
            <w:vAlign w:val="top"/>
          </w:tcPr>
          <w:p>
            <w:pPr>
              <w:spacing w:after="0"/>
            </w:pPr>
            <w:r/>
            <w:r>
              <w:rPr>
                <w:b w:val="0"/>
              </w:rPr>
              <w:t>Include only if reports/RICEW are discussed or provided in inputs. Do not add standard Oracle reports by default.</w:t>
            </w:r>
          </w:p>
        </w:tc>
      </w:tr>
      <w:tr>
        <w:trPr>
          <w:cantSplit/>
        </w:trPr>
        <w:tc>
          <w:tcPr>
            <w:tcW w:type="dxa" w:w="2592"/>
            <w:vAlign w:val="top"/>
          </w:tcPr>
          <w:p>
            <w:pPr>
              <w:spacing w:after="0"/>
            </w:pPr>
            <w:r/>
            <w:r>
              <w:rPr>
                <w:b w:val="0"/>
              </w:rPr>
              <w:t>Open Points</w:t>
            </w:r>
          </w:p>
        </w:tc>
        <w:tc>
          <w:tcPr>
            <w:tcW w:type="dxa" w:w="7344"/>
            <w:vAlign w:val="top"/>
          </w:tcPr>
          <w:p>
            <w:pPr>
              <w:spacing w:after="0"/>
            </w:pPr>
            <w:r/>
            <w:r>
              <w:rPr>
                <w:b w:val="0"/>
              </w:rPr>
              <w:t>Include unresolved questions/manual action items near the end, using ID, Topic, Question, Status.</w:t>
            </w:r>
          </w:p>
        </w:tc>
      </w:tr>
      <w:tr>
        <w:trPr>
          <w:cantSplit/>
        </w:trPr>
        <w:tc>
          <w:tcPr>
            <w:tcW w:type="dxa" w:w="2592"/>
            <w:vAlign w:val="top"/>
          </w:tcPr>
          <w:p>
            <w:pPr>
              <w:spacing w:after="0"/>
            </w:pPr>
            <w:r/>
            <w:r>
              <w:rPr>
                <w:b w:val="0"/>
              </w:rPr>
              <w:t>Documents Referred</w:t>
            </w:r>
          </w:p>
        </w:tc>
        <w:tc>
          <w:tcPr>
            <w:tcW w:type="dxa" w:w="7344"/>
            <w:vAlign w:val="top"/>
          </w:tcPr>
          <w:p>
            <w:pPr>
              <w:spacing w:after="0"/>
            </w:pPr>
            <w:r/>
            <w:r>
              <w:rPr>
                <w:b w:val="0"/>
              </w:rPr>
              <w:t>Do not include for now, even if multiple files are uploaded, unless the requirement changes later.</w:t>
            </w:r>
          </w:p>
        </w:tc>
      </w:tr>
    </w:tbl>
    <w:p/>
    <w:p>
      <w:pPr>
        <w:pStyle w:val="Heading1"/>
      </w:pPr>
      <w:r>
        <w:t>8. Content Generation Rules</w:t>
      </w:r>
    </w:p>
    <w:p>
      <w:pPr>
        <w:pStyle w:val="ListBullet"/>
      </w:pPr>
      <w:r>
        <w:t>Capture all important points discussed in the KT transcript and/or provided in golden-source documents.</w:t>
      </w:r>
    </w:p>
    <w:p>
      <w:pPr>
        <w:pStyle w:val="ListBullet"/>
      </w:pPr>
      <w:r>
        <w:t>Rewrite, summarize, and structure content professionally while preserving meaning.</w:t>
      </w:r>
    </w:p>
    <w:p>
      <w:pPr>
        <w:pStyle w:val="ListBullet"/>
      </w:pPr>
      <w:r>
        <w:t>AI-generated explanations are allowed where appropriate, but they must be grounded in inputs.</w:t>
      </w:r>
    </w:p>
    <w:p>
      <w:pPr>
        <w:pStyle w:val="ListBullet"/>
      </w:pPr>
      <w:r>
        <w:t>Do not assume, invent, or present unsupported missing details as facts.</w:t>
      </w:r>
    </w:p>
    <w:p>
      <w:pPr>
        <w:pStyle w:val="ListBullet"/>
      </w:pPr>
      <w:r>
        <w:t>If information is missing, unclear, contradictory, or low-confidence, omit it, leave a placeholder, or move it to Open Points depending on the context.</w:t>
      </w:r>
    </w:p>
    <w:p>
      <w:pPr>
        <w:pStyle w:val="ListBullet"/>
      </w:pPr>
      <w:r>
        <w:t>Use formal, business-oriented AUD headings rather than blindly copying slide titles.</w:t>
      </w:r>
    </w:p>
    <w:p>
      <w:pPr>
        <w:pStyle w:val="ListBullet"/>
      </w:pPr>
      <w:r>
        <w:t>Do not include empty or low-value sections just because they appear in a PPT.</w:t>
      </w:r>
    </w:p>
    <w:p>
      <w:pPr>
        <w:pStyle w:val="ListBullet"/>
      </w:pPr>
      <w:r>
        <w:t>Do not copy configuration workbooks wholesale. Extract only relevant setup/configuration details supported by FDD, KT, PPT, or business relevance.</w:t>
      </w:r>
    </w:p>
    <w:p>
      <w:pPr>
        <w:pStyle w:val="ListBullet"/>
      </w:pPr>
      <w:r>
        <w:t>Do not include scripts/code from functional or configuration documents unless explicitly required in the future.</w:t>
      </w:r>
    </w:p>
    <w:p>
      <w:pPr>
        <w:pStyle w:val="ListBullet"/>
      </w:pPr>
      <w:r>
        <w:t>When FDD is provided, use it as the authoritative content source for its process area.</w:t>
      </w:r>
    </w:p>
    <w:p>
      <w:pPr>
        <w:pStyle w:val="Heading1"/>
      </w:pPr>
      <w:r>
        <w:t>9. Screenshots, Images, Tables, and Flow Handling</w:t>
      </w:r>
    </w:p>
    <w:p>
      <w:pPr>
        <w:pStyle w:val="Heading2"/>
      </w:pPr>
      <w:r>
        <w:t>9.1 Screenshots and Images</w:t>
      </w:r>
    </w:p>
    <w:p>
      <w:pPr>
        <w:pStyle w:val="ListBullet"/>
      </w:pPr>
      <w:r>
        <w:t>Extract PPT/supporting-document images as-is. Images may be resized to fit the AUD, but image content must not be altered.</w:t>
      </w:r>
    </w:p>
    <w:p>
      <w:pPr>
        <w:pStyle w:val="ListBullet"/>
      </w:pPr>
      <w:r>
        <w:t>Include screenshots/images based on KT transcript and presenter focus.</w:t>
      </w:r>
    </w:p>
    <w:p>
      <w:pPr>
        <w:pStyle w:val="ListBullet"/>
      </w:pPr>
      <w:r>
        <w:t>Prioritize images the presenter explains, spends meaningful time on, or uses to clarify process, configuration, navigation, or customer-specific setup.</w:t>
      </w:r>
    </w:p>
    <w:p>
      <w:pPr>
        <w:pStyle w:val="ListBullet"/>
      </w:pPr>
      <w:r>
        <w:t>Where possible, include all relevant screenshots provided in the PPT, especially if they support business flow, configuration, navigation, process understanding, or customer-specific setup.</w:t>
      </w:r>
    </w:p>
    <w:p>
      <w:pPr>
        <w:pStyle w:val="ListBullet"/>
      </w:pPr>
      <w:r>
        <w:t>Do not include decorative, duplicate, agenda-related, welcome, thank-you, or low-value images.</w:t>
      </w:r>
    </w:p>
    <w:p>
      <w:pPr>
        <w:pStyle w:val="ListBullet"/>
      </w:pPr>
      <w:r>
        <w:t>Place images under the relevant section or subprocess, not in a generic appendix unless the template requires it.</w:t>
      </w:r>
    </w:p>
    <w:p>
      <w:pPr>
        <w:pStyle w:val="ListBullet"/>
      </w:pPr>
      <w:r>
        <w:t>For the first version, do not extract screenshots directly from video. If the video discusses a point requiring a missing screenshot, add a timestamp-based manual-action item to Open Points.</w:t>
      </w:r>
    </w:p>
    <w:p>
      <w:pPr>
        <w:pStyle w:val="Heading2"/>
      </w:pPr>
      <w:r>
        <w:t>9.2 Tables</w:t>
      </w:r>
    </w:p>
    <w:p>
      <w:pPr>
        <w:pStyle w:val="ListBullet"/>
      </w:pPr>
      <w:r>
        <w:t>Preserve exact table values when they represent configuration, business rules, process mapping, reports, RICEW, setup details, or other customer/project-specific facts.</w:t>
      </w:r>
    </w:p>
    <w:p>
      <w:pPr>
        <w:pStyle w:val="ListBullet"/>
      </w:pPr>
      <w:r>
        <w:t>Convert PPT/workbook tables into Word tables when the table structure carries meaning.</w:t>
      </w:r>
    </w:p>
    <w:p>
      <w:pPr>
        <w:pStyle w:val="ListBullet"/>
      </w:pPr>
      <w:r>
        <w:t>Simplify overly technical workbook tables into AUD-readable tables while preserving exact important values.</w:t>
      </w:r>
    </w:p>
    <w:p>
      <w:pPr>
        <w:pStyle w:val="ListBullet"/>
      </w:pPr>
      <w:r>
        <w:t>Do not include irrelevant or unused workbook columns unless needed for understanding.</w:t>
      </w:r>
    </w:p>
    <w:p>
      <w:pPr>
        <w:pStyle w:val="Heading2"/>
      </w:pPr>
      <w:r>
        <w:t>9.3 Process Flows</w:t>
      </w:r>
    </w:p>
    <w:p>
      <w:pPr>
        <w:pStyle w:val="ListBullet"/>
      </w:pPr>
      <w:r>
        <w:t>Use existing PPT/supporting-document process images first when available and relevant.</w:t>
      </w:r>
    </w:p>
    <w:p>
      <w:pPr>
        <w:pStyle w:val="ListBullet"/>
      </w:pPr>
      <w:r>
        <w:t>If the transcript clearly explains a flow and no image is available, generate a process/flow representation and place it under the relevant process or subprocess section.</w:t>
      </w:r>
    </w:p>
    <w:p>
      <w:pPr>
        <w:pStyle w:val="ListBullet"/>
      </w:pPr>
      <w:r>
        <w:t>Generated flow diagrams do not need to visually match the default template legend in the first version.</w:t>
      </w:r>
    </w:p>
    <w:p>
      <w:pPr>
        <w:pStyle w:val="ListBullet"/>
      </w:pPr>
      <w:r>
        <w:t>Process content may be written as narrative process details, step-by-step flow, activity table, or diagram plus description depending on the source material and template.</w:t>
      </w:r>
    </w:p>
    <w:p>
      <w:pPr>
        <w:pStyle w:val="Heading1"/>
      </w:pPr>
      <w:r>
        <w:t>10. Open Points and Clarification Rules</w:t>
      </w:r>
    </w:p>
    <w:p>
      <w:pPr>
        <w:pStyle w:val="ListBullet"/>
      </w:pPr>
      <w:r>
        <w:t>Open Points should include only unresolved questions, unclear details, contradictions, or required manual actions.</w:t>
      </w:r>
    </w:p>
    <w:p>
      <w:pPr>
        <w:pStyle w:val="ListBullet"/>
      </w:pPr>
      <w:r>
        <w:t>Resolved questions should not be included in Open Points, even if final AUD samples include closed items.</w:t>
      </w:r>
    </w:p>
    <w:p>
      <w:pPr>
        <w:pStyle w:val="ListBullet"/>
      </w:pPr>
      <w:r>
        <w:t>Use the table fields ID, Topic, Question, Status.</w:t>
      </w:r>
    </w:p>
    <w:p>
      <w:pPr>
        <w:pStyle w:val="ListBullet"/>
      </w:pPr>
      <w:r>
        <w:t>Timestamp-based screenshot placeholders should appear only in Open Points if clarification or manual action is required.</w:t>
      </w:r>
    </w:p>
    <w:p>
      <w:pPr>
        <w:pStyle w:val="ListBullet"/>
      </w:pPr>
      <w:r>
        <w:t>Do not present unresolved comments from FDDs or other documents as confirmed AUD content.</w:t>
      </w:r>
    </w:p>
    <w:p>
      <w:pPr>
        <w:pStyle w:val="ListBullet"/>
      </w:pPr>
      <w:r>
        <w:t>When a source says a topic needs another session, another team confirmation, business approval, UAT confirmation, or detailed design confirmation, create an Open Point if the item affects the AUD content.</w:t>
      </w:r>
    </w:p>
    <w:tbl>
      <w:tblPr>
        <w:tblStyle w:val="TableGrid"/>
        <w:tblW w:type="auto" w:w="0"/>
        <w:jc w:val="center"/>
        <w:tblLook w:firstColumn="1" w:firstRow="1" w:lastColumn="0" w:lastRow="0" w:noHBand="0" w:noVBand="1" w:val="04A0"/>
      </w:tblPr>
      <w:tblGrid>
        <w:gridCol w:w="5040"/>
        <w:gridCol w:w="5040"/>
      </w:tblGrid>
      <w:tr>
        <w:trPr>
          <w:cantSplit/>
        </w:trPr>
        <w:tc>
          <w:tcPr>
            <w:tcW w:type="dxa" w:w="3168"/>
            <w:shd w:fill="1F4E79"/>
            <w:vAlign w:val="top"/>
          </w:tcPr>
          <w:p>
            <w:pPr>
              <w:spacing w:after="0"/>
            </w:pPr>
            <w:r/>
            <w:r>
              <w:rPr>
                <w:b/>
                <w:color w:val="FFFFFF"/>
              </w:rPr>
              <w:t>Open Point Type</w:t>
            </w:r>
          </w:p>
        </w:tc>
        <w:tc>
          <w:tcPr>
            <w:tcW w:type="dxa" w:w="6768"/>
            <w:shd w:fill="1F4E79"/>
            <w:vAlign w:val="top"/>
          </w:tcPr>
          <w:p>
            <w:pPr>
              <w:spacing w:after="0"/>
            </w:pPr>
            <w:r/>
            <w:r>
              <w:rPr>
                <w:b/>
                <w:color w:val="FFFFFF"/>
              </w:rPr>
              <w:t>Example Handling</w:t>
            </w:r>
          </w:p>
        </w:tc>
      </w:tr>
      <w:tr>
        <w:trPr>
          <w:cantSplit/>
        </w:trPr>
        <w:tc>
          <w:tcPr>
            <w:tcW w:type="dxa" w:w="3168"/>
            <w:vAlign w:val="top"/>
          </w:tcPr>
          <w:p>
            <w:pPr>
              <w:spacing w:after="0"/>
            </w:pPr>
            <w:r/>
            <w:r>
              <w:rPr>
                <w:b w:val="0"/>
              </w:rPr>
              <w:t>Missing enterprise structure</w:t>
            </w:r>
          </w:p>
        </w:tc>
        <w:tc>
          <w:tcPr>
            <w:tcW w:type="dxa" w:w="6768"/>
            <w:vAlign w:val="top"/>
          </w:tcPr>
          <w:p>
            <w:pPr>
              <w:spacing w:after="0"/>
            </w:pPr>
            <w:r/>
            <w:r>
              <w:rPr>
                <w:b w:val="0"/>
              </w:rPr>
              <w:t>Omit the section or add placeholder; add Open Point only if it is expected and needed for validation.</w:t>
            </w:r>
          </w:p>
        </w:tc>
      </w:tr>
      <w:tr>
        <w:trPr>
          <w:cantSplit/>
        </w:trPr>
        <w:tc>
          <w:tcPr>
            <w:tcW w:type="dxa" w:w="3168"/>
            <w:vAlign w:val="top"/>
          </w:tcPr>
          <w:p>
            <w:pPr>
              <w:spacing w:after="0"/>
            </w:pPr>
            <w:r/>
            <w:r>
              <w:rPr>
                <w:b w:val="0"/>
              </w:rPr>
              <w:t>FDD unresolved comment</w:t>
            </w:r>
          </w:p>
        </w:tc>
        <w:tc>
          <w:tcPr>
            <w:tcW w:type="dxa" w:w="6768"/>
            <w:vAlign w:val="top"/>
          </w:tcPr>
          <w:p>
            <w:pPr>
              <w:spacing w:after="0"/>
            </w:pPr>
            <w:r/>
            <w:r>
              <w:rPr>
                <w:b w:val="0"/>
              </w:rPr>
              <w:t>Add to Open Points if it affects confirmed content.</w:t>
            </w:r>
          </w:p>
        </w:tc>
      </w:tr>
      <w:tr>
        <w:trPr>
          <w:cantSplit/>
        </w:trPr>
        <w:tc>
          <w:tcPr>
            <w:tcW w:type="dxa" w:w="3168"/>
            <w:vAlign w:val="top"/>
          </w:tcPr>
          <w:p>
            <w:pPr>
              <w:spacing w:after="0"/>
            </w:pPr>
            <w:r/>
            <w:r>
              <w:rPr>
                <w:b w:val="0"/>
              </w:rPr>
              <w:t>PPT/workbook conflict without transcript/FDD resolution</w:t>
            </w:r>
          </w:p>
        </w:tc>
        <w:tc>
          <w:tcPr>
            <w:tcW w:type="dxa" w:w="6768"/>
            <w:vAlign w:val="top"/>
          </w:tcPr>
          <w:p>
            <w:pPr>
              <w:spacing w:after="0"/>
            </w:pPr>
            <w:r/>
            <w:r>
              <w:rPr>
                <w:b w:val="0"/>
              </w:rPr>
              <w:t>Add conflict to Open Points.</w:t>
            </w:r>
          </w:p>
        </w:tc>
      </w:tr>
      <w:tr>
        <w:trPr>
          <w:cantSplit/>
        </w:trPr>
        <w:tc>
          <w:tcPr>
            <w:tcW w:type="dxa" w:w="3168"/>
            <w:vAlign w:val="top"/>
          </w:tcPr>
          <w:p>
            <w:pPr>
              <w:spacing w:after="0"/>
            </w:pPr>
            <w:r/>
            <w:r>
              <w:rPr>
                <w:b w:val="0"/>
              </w:rPr>
              <w:t>Presenter says screenshot needed but not available</w:t>
            </w:r>
          </w:p>
        </w:tc>
        <w:tc>
          <w:tcPr>
            <w:tcW w:type="dxa" w:w="6768"/>
            <w:vAlign w:val="top"/>
          </w:tcPr>
          <w:p>
            <w:pPr>
              <w:spacing w:after="0"/>
            </w:pPr>
            <w:r/>
            <w:r>
              <w:rPr>
                <w:b w:val="0"/>
              </w:rPr>
              <w:t>Add timestamp/manual screenshot action to Open Points.</w:t>
            </w:r>
          </w:p>
        </w:tc>
      </w:tr>
      <w:tr>
        <w:trPr>
          <w:cantSplit/>
        </w:trPr>
        <w:tc>
          <w:tcPr>
            <w:tcW w:type="dxa" w:w="3168"/>
            <w:vAlign w:val="top"/>
          </w:tcPr>
          <w:p>
            <w:pPr>
              <w:spacing w:after="0"/>
            </w:pPr>
            <w:r/>
            <w:r>
              <w:rPr>
                <w:b w:val="0"/>
              </w:rPr>
              <w:t>Pending customer/team confirmation</w:t>
            </w:r>
          </w:p>
        </w:tc>
        <w:tc>
          <w:tcPr>
            <w:tcW w:type="dxa" w:w="6768"/>
            <w:vAlign w:val="top"/>
          </w:tcPr>
          <w:p>
            <w:pPr>
              <w:spacing w:after="0"/>
            </w:pPr>
            <w:r/>
            <w:r>
              <w:rPr>
                <w:b w:val="0"/>
              </w:rPr>
              <w:t>Add concise clarification question with status Open.</w:t>
            </w:r>
          </w:p>
        </w:tc>
      </w:tr>
    </w:tbl>
    <w:p/>
    <w:p>
      <w:pPr>
        <w:pStyle w:val="Heading1"/>
      </w:pPr>
      <w:r>
        <w:t>11. Human Review and Quality Expectations</w:t>
      </w:r>
    </w:p>
    <w:p>
      <w:pPr>
        <w:pStyle w:val="ListBullet"/>
      </w:pPr>
      <w:r>
        <w:t>The AUD should be as close to final-ready as possible.</w:t>
      </w:r>
    </w:p>
    <w:p>
      <w:pPr>
        <w:pStyle w:val="ListBullet"/>
      </w:pPr>
      <w:r>
        <w:t>One manual senior-consultant review is recommended before customer distribution.</w:t>
      </w:r>
    </w:p>
    <w:p>
      <w:pPr>
        <w:pStyle w:val="ListBullet"/>
      </w:pPr>
      <w:r>
        <w:t>Accuracy is more important than formatting alone.</w:t>
      </w:r>
    </w:p>
    <w:p>
      <w:pPr>
        <w:pStyle w:val="ListBullet"/>
      </w:pPr>
      <w:r>
        <w:t>The generated AUD is unacceptable if it contains incorrect details, missed important points, wrong navigation steps, misrepresentation of KT discussion, or assumptions presented as facts.</w:t>
      </w:r>
    </w:p>
    <w:p>
      <w:pPr>
        <w:pStyle w:val="ListBullet"/>
      </w:pPr>
      <w:r>
        <w:t>The review experience should make unresolved or low-confidence items easy to find in Open Points.</w:t>
      </w:r>
    </w:p>
    <w:p>
      <w:pPr>
        <w:pStyle w:val="Heading1"/>
      </w:pPr>
      <w:r>
        <w:t>12. Functional Requirement Catalog</w:t>
      </w:r>
    </w:p>
    <w:p>
      <w:pPr>
        <w:pStyle w:val="Heading2"/>
      </w:pPr>
      <w:r>
        <w:t>A. Input and Metadata Requirements</w:t>
      </w:r>
    </w:p>
    <w:tbl>
      <w:tblPr>
        <w:tblStyle w:val="TableGrid"/>
        <w:tblW w:type="auto" w:w="0"/>
        <w:jc w:val="center"/>
        <w:tblLook w:firstColumn="1" w:firstRow="1" w:lastColumn="0" w:lastRow="0" w:noHBand="0" w:noVBand="1" w:val="04A0"/>
      </w:tblPr>
      <w:tblGrid>
        <w:gridCol w:w="5040"/>
        <w:gridCol w:w="5040"/>
      </w:tblGrid>
      <w:tr>
        <w:trPr>
          <w:cantSplit/>
        </w:trPr>
        <w:tc>
          <w:tcPr>
            <w:tcW w:type="dxa" w:w="1656"/>
            <w:shd w:fill="1F4E79"/>
            <w:vAlign w:val="top"/>
          </w:tcPr>
          <w:p>
            <w:pPr>
              <w:spacing w:after="0"/>
            </w:pPr>
            <w:r/>
            <w:r>
              <w:rPr>
                <w:b/>
                <w:color w:val="FFFFFF"/>
              </w:rPr>
              <w:t>Req. ID</w:t>
            </w:r>
          </w:p>
        </w:tc>
        <w:tc>
          <w:tcPr>
            <w:tcW w:type="dxa" w:w="8496"/>
            <w:shd w:fill="1F4E79"/>
            <w:vAlign w:val="top"/>
          </w:tcPr>
          <w:p>
            <w:pPr>
              <w:spacing w:after="0"/>
            </w:pPr>
            <w:r/>
            <w:r>
              <w:rPr>
                <w:b/>
                <w:color w:val="FFFFFF"/>
              </w:rPr>
              <w:t>Requirement</w:t>
            </w:r>
          </w:p>
        </w:tc>
      </w:tr>
      <w:tr>
        <w:trPr>
          <w:cantSplit/>
        </w:trPr>
        <w:tc>
          <w:tcPr>
            <w:tcW w:type="dxa" w:w="1656"/>
            <w:vAlign w:val="top"/>
          </w:tcPr>
          <w:p>
            <w:pPr>
              <w:spacing w:after="0"/>
            </w:pPr>
            <w:r/>
            <w:r>
              <w:rPr>
                <w:b w:val="0"/>
              </w:rPr>
              <w:t>AUD-FR-001</w:t>
            </w:r>
          </w:p>
        </w:tc>
        <w:tc>
          <w:tcPr>
            <w:tcW w:type="dxa" w:w="8496"/>
            <w:vAlign w:val="top"/>
          </w:tcPr>
          <w:p>
            <w:pPr>
              <w:spacing w:after="0"/>
            </w:pPr>
            <w:r/>
            <w:r>
              <w:rPr>
                <w:b w:val="0"/>
              </w:rPr>
              <w:t>The tool shall allow users to upload a template AUD. If provided, this template shall drive output structure and formatting.</w:t>
            </w:r>
          </w:p>
        </w:tc>
      </w:tr>
      <w:tr>
        <w:trPr>
          <w:cantSplit/>
        </w:trPr>
        <w:tc>
          <w:tcPr>
            <w:tcW w:type="dxa" w:w="1656"/>
            <w:vAlign w:val="top"/>
          </w:tcPr>
          <w:p>
            <w:pPr>
              <w:spacing w:after="0"/>
            </w:pPr>
            <w:r/>
            <w:r>
              <w:rPr>
                <w:b w:val="0"/>
              </w:rPr>
              <w:t>AUD-FR-002</w:t>
            </w:r>
          </w:p>
        </w:tc>
        <w:tc>
          <w:tcPr>
            <w:tcW w:type="dxa" w:w="8496"/>
            <w:vAlign w:val="top"/>
          </w:tcPr>
          <w:p>
            <w:pPr>
              <w:spacing w:after="0"/>
            </w:pPr>
            <w:r/>
            <w:r>
              <w:rPr>
                <w:b w:val="0"/>
              </w:rPr>
              <w:t>The tool shall use the default SCM AUD template only when no explicit template AUD is provided.</w:t>
            </w:r>
          </w:p>
        </w:tc>
      </w:tr>
      <w:tr>
        <w:trPr>
          <w:cantSplit/>
        </w:trPr>
        <w:tc>
          <w:tcPr>
            <w:tcW w:type="dxa" w:w="1656"/>
            <w:vAlign w:val="top"/>
          </w:tcPr>
          <w:p>
            <w:pPr>
              <w:spacing w:after="0"/>
            </w:pPr>
            <w:r/>
            <w:r>
              <w:rPr>
                <w:b w:val="0"/>
              </w:rPr>
              <w:t>AUD-FR-003</w:t>
            </w:r>
          </w:p>
        </w:tc>
        <w:tc>
          <w:tcPr>
            <w:tcW w:type="dxa" w:w="8496"/>
            <w:vAlign w:val="top"/>
          </w:tcPr>
          <w:p>
            <w:pPr>
              <w:spacing w:after="0"/>
            </w:pPr>
            <w:r/>
            <w:r>
              <w:rPr>
                <w:b w:val="0"/>
              </w:rPr>
              <w:t>The tool shall allow upload of KT PPT, video/audio recording, configuration workbook, FDD, functional document, visual flow document, and supporting documents in varying combinations.</w:t>
            </w:r>
          </w:p>
        </w:tc>
      </w:tr>
      <w:tr>
        <w:trPr>
          <w:cantSplit/>
        </w:trPr>
        <w:tc>
          <w:tcPr>
            <w:tcW w:type="dxa" w:w="1656"/>
            <w:vAlign w:val="top"/>
          </w:tcPr>
          <w:p>
            <w:pPr>
              <w:spacing w:after="0"/>
            </w:pPr>
            <w:r/>
            <w:r>
              <w:rPr>
                <w:b w:val="0"/>
              </w:rPr>
              <w:t>AUD-FR-004</w:t>
            </w:r>
          </w:p>
        </w:tc>
        <w:tc>
          <w:tcPr>
            <w:tcW w:type="dxa" w:w="8496"/>
            <w:vAlign w:val="top"/>
          </w:tcPr>
          <w:p>
            <w:pPr>
              <w:spacing w:after="0"/>
            </w:pPr>
            <w:r/>
            <w:r>
              <w:rPr>
                <w:b w:val="0"/>
              </w:rPr>
              <w:t>The tool shall allow users to enter customer/client name, one or more SCM module names, author/reviewer details, and optional project metadata.</w:t>
            </w:r>
          </w:p>
        </w:tc>
      </w:tr>
      <w:tr>
        <w:trPr>
          <w:cantSplit/>
        </w:trPr>
        <w:tc>
          <w:tcPr>
            <w:tcW w:type="dxa" w:w="1656"/>
            <w:vAlign w:val="top"/>
          </w:tcPr>
          <w:p>
            <w:pPr>
              <w:spacing w:after="0"/>
            </w:pPr>
            <w:r/>
            <w:r>
              <w:rPr>
                <w:b w:val="0"/>
              </w:rPr>
              <w:t>AUD-FR-005</w:t>
            </w:r>
          </w:p>
        </w:tc>
        <w:tc>
          <w:tcPr>
            <w:tcW w:type="dxa" w:w="8496"/>
            <w:vAlign w:val="top"/>
          </w:tcPr>
          <w:p>
            <w:pPr>
              <w:spacing w:after="0"/>
            </w:pPr>
            <w:r/>
            <w:r>
              <w:rPr>
                <w:b w:val="0"/>
              </w:rPr>
              <w:t>The tool shall allow optional upload of an enterprise-structure image.</w:t>
            </w:r>
          </w:p>
        </w:tc>
      </w:tr>
      <w:tr>
        <w:trPr>
          <w:cantSplit/>
        </w:trPr>
        <w:tc>
          <w:tcPr>
            <w:tcW w:type="dxa" w:w="1656"/>
            <w:vAlign w:val="top"/>
          </w:tcPr>
          <w:p>
            <w:pPr>
              <w:spacing w:after="0"/>
            </w:pPr>
            <w:r/>
            <w:r>
              <w:rPr>
                <w:b w:val="0"/>
              </w:rPr>
              <w:t>AUD-FR-006</w:t>
            </w:r>
          </w:p>
        </w:tc>
        <w:tc>
          <w:tcPr>
            <w:tcW w:type="dxa" w:w="8496"/>
            <w:vAlign w:val="top"/>
          </w:tcPr>
          <w:p>
            <w:pPr>
              <w:spacing w:after="0"/>
            </w:pPr>
            <w:r/>
            <w:r>
              <w:rPr>
                <w:b w:val="0"/>
              </w:rPr>
              <w:t>The tool shall not require a manually created final AUD as runtime input.</w:t>
            </w:r>
          </w:p>
        </w:tc>
      </w:tr>
    </w:tbl>
    <w:p/>
    <w:p>
      <w:pPr>
        <w:pStyle w:val="Heading2"/>
      </w:pPr>
      <w:r>
        <w:t>B. Source Priority Requirements</w:t>
      </w:r>
    </w:p>
    <w:tbl>
      <w:tblPr>
        <w:tblStyle w:val="TableGrid"/>
        <w:tblW w:type="auto" w:w="0"/>
        <w:jc w:val="center"/>
        <w:tblLook w:firstColumn="1" w:firstRow="1" w:lastColumn="0" w:lastRow="0" w:noHBand="0" w:noVBand="1" w:val="04A0"/>
      </w:tblPr>
      <w:tblGrid>
        <w:gridCol w:w="5040"/>
        <w:gridCol w:w="5040"/>
      </w:tblGrid>
      <w:tr>
        <w:trPr>
          <w:cantSplit/>
        </w:trPr>
        <w:tc>
          <w:tcPr>
            <w:tcW w:type="dxa" w:w="1656"/>
            <w:shd w:fill="1F4E79"/>
            <w:vAlign w:val="top"/>
          </w:tcPr>
          <w:p>
            <w:pPr>
              <w:spacing w:after="0"/>
            </w:pPr>
            <w:r/>
            <w:r>
              <w:rPr>
                <w:b/>
                <w:color w:val="FFFFFF"/>
              </w:rPr>
              <w:t>Req. ID</w:t>
            </w:r>
          </w:p>
        </w:tc>
        <w:tc>
          <w:tcPr>
            <w:tcW w:type="dxa" w:w="8496"/>
            <w:shd w:fill="1F4E79"/>
            <w:vAlign w:val="top"/>
          </w:tcPr>
          <w:p>
            <w:pPr>
              <w:spacing w:after="0"/>
            </w:pPr>
            <w:r/>
            <w:r>
              <w:rPr>
                <w:b/>
                <w:color w:val="FFFFFF"/>
              </w:rPr>
              <w:t>Requirement</w:t>
            </w:r>
          </w:p>
        </w:tc>
      </w:tr>
      <w:tr>
        <w:trPr>
          <w:cantSplit/>
        </w:trPr>
        <w:tc>
          <w:tcPr>
            <w:tcW w:type="dxa" w:w="1656"/>
            <w:vAlign w:val="top"/>
          </w:tcPr>
          <w:p>
            <w:pPr>
              <w:spacing w:after="0"/>
            </w:pPr>
            <w:r/>
            <w:r>
              <w:rPr>
                <w:b w:val="0"/>
              </w:rPr>
              <w:t>AUD-FR-007</w:t>
            </w:r>
          </w:p>
        </w:tc>
        <w:tc>
          <w:tcPr>
            <w:tcW w:type="dxa" w:w="8496"/>
            <w:vAlign w:val="top"/>
          </w:tcPr>
          <w:p>
            <w:pPr>
              <w:spacing w:after="0"/>
            </w:pPr>
            <w:r/>
            <w:r>
              <w:rPr>
                <w:b w:val="0"/>
              </w:rPr>
              <w:t>If an FDD is provided, the tool shall treat it as the golden source for the process/area it covers.</w:t>
            </w:r>
          </w:p>
        </w:tc>
      </w:tr>
      <w:tr>
        <w:trPr>
          <w:cantSplit/>
        </w:trPr>
        <w:tc>
          <w:tcPr>
            <w:tcW w:type="dxa" w:w="1656"/>
            <w:vAlign w:val="top"/>
          </w:tcPr>
          <w:p>
            <w:pPr>
              <w:spacing w:after="0"/>
            </w:pPr>
            <w:r/>
            <w:r>
              <w:rPr>
                <w:b w:val="0"/>
              </w:rPr>
              <w:t>AUD-FR-008</w:t>
            </w:r>
          </w:p>
        </w:tc>
        <w:tc>
          <w:tcPr>
            <w:tcW w:type="dxa" w:w="8496"/>
            <w:vAlign w:val="top"/>
          </w:tcPr>
          <w:p>
            <w:pPr>
              <w:spacing w:after="0"/>
            </w:pPr>
            <w:r/>
            <w:r>
              <w:rPr>
                <w:b w:val="0"/>
              </w:rPr>
              <w:t>If the FDD contradicts the KT transcript, PPT, configuration workbook, or other supporting document, the tool shall prioritize the FDD.</w:t>
            </w:r>
          </w:p>
        </w:tc>
      </w:tr>
      <w:tr>
        <w:trPr>
          <w:cantSplit/>
        </w:trPr>
        <w:tc>
          <w:tcPr>
            <w:tcW w:type="dxa" w:w="1656"/>
            <w:vAlign w:val="top"/>
          </w:tcPr>
          <w:p>
            <w:pPr>
              <w:spacing w:after="0"/>
            </w:pPr>
            <w:r/>
            <w:r>
              <w:rPr>
                <w:b w:val="0"/>
              </w:rPr>
              <w:t>AUD-FR-009</w:t>
            </w:r>
          </w:p>
        </w:tc>
        <w:tc>
          <w:tcPr>
            <w:tcW w:type="dxa" w:w="8496"/>
            <w:vAlign w:val="top"/>
          </w:tcPr>
          <w:p>
            <w:pPr>
              <w:spacing w:after="0"/>
            </w:pPr>
            <w:r/>
            <w:r>
              <w:rPr>
                <w:b w:val="0"/>
              </w:rPr>
              <w:t>If no FDD exists, uploaded project/customer documents shall be treated as primary factual sources.</w:t>
            </w:r>
          </w:p>
        </w:tc>
      </w:tr>
      <w:tr>
        <w:trPr>
          <w:cantSplit/>
        </w:trPr>
        <w:tc>
          <w:tcPr>
            <w:tcW w:type="dxa" w:w="1656"/>
            <w:vAlign w:val="top"/>
          </w:tcPr>
          <w:p>
            <w:pPr>
              <w:spacing w:after="0"/>
            </w:pPr>
            <w:r/>
            <w:r>
              <w:rPr>
                <w:b w:val="0"/>
              </w:rPr>
              <w:t>AUD-FR-010</w:t>
            </w:r>
          </w:p>
        </w:tc>
        <w:tc>
          <w:tcPr>
            <w:tcW w:type="dxa" w:w="8496"/>
            <w:vAlign w:val="top"/>
          </w:tcPr>
          <w:p>
            <w:pPr>
              <w:spacing w:after="0"/>
            </w:pPr>
            <w:r/>
            <w:r>
              <w:rPr>
                <w:b w:val="0"/>
              </w:rPr>
              <w:t>The transcript shall clarify and enrich document content and shall override source documents only where the presenter explicitly corrects or invalidates them.</w:t>
            </w:r>
          </w:p>
        </w:tc>
      </w:tr>
      <w:tr>
        <w:trPr>
          <w:cantSplit/>
        </w:trPr>
        <w:tc>
          <w:tcPr>
            <w:tcW w:type="dxa" w:w="1656"/>
            <w:vAlign w:val="top"/>
          </w:tcPr>
          <w:p>
            <w:pPr>
              <w:spacing w:after="0"/>
            </w:pPr>
            <w:r/>
            <w:r>
              <w:rPr>
                <w:b w:val="0"/>
              </w:rPr>
              <w:t>AUD-FR-011</w:t>
            </w:r>
          </w:p>
        </w:tc>
        <w:tc>
          <w:tcPr>
            <w:tcW w:type="dxa" w:w="8496"/>
            <w:vAlign w:val="top"/>
          </w:tcPr>
          <w:p>
            <w:pPr>
              <w:spacing w:after="0"/>
            </w:pPr>
            <w:r/>
            <w:r>
              <w:rPr>
                <w:b w:val="0"/>
              </w:rPr>
              <w:t>Unresolved conflicts shall be moved to Open Points instead of being guessed.</w:t>
            </w:r>
          </w:p>
        </w:tc>
      </w:tr>
    </w:tbl>
    <w:p/>
    <w:p>
      <w:pPr>
        <w:pStyle w:val="Heading2"/>
      </w:pPr>
      <w:r>
        <w:t>C. Template and Structure Requirements</w:t>
      </w:r>
    </w:p>
    <w:tbl>
      <w:tblPr>
        <w:tblStyle w:val="TableGrid"/>
        <w:tblW w:type="auto" w:w="0"/>
        <w:jc w:val="center"/>
        <w:tblLook w:firstColumn="1" w:firstRow="1" w:lastColumn="0" w:lastRow="0" w:noHBand="0" w:noVBand="1" w:val="04A0"/>
      </w:tblPr>
      <w:tblGrid>
        <w:gridCol w:w="5040"/>
        <w:gridCol w:w="5040"/>
      </w:tblGrid>
      <w:tr>
        <w:trPr>
          <w:cantSplit/>
        </w:trPr>
        <w:tc>
          <w:tcPr>
            <w:tcW w:type="dxa" w:w="1656"/>
            <w:shd w:fill="1F4E79"/>
            <w:vAlign w:val="top"/>
          </w:tcPr>
          <w:p>
            <w:pPr>
              <w:spacing w:after="0"/>
            </w:pPr>
            <w:r/>
            <w:r>
              <w:rPr>
                <w:b/>
                <w:color w:val="FFFFFF"/>
              </w:rPr>
              <w:t>Req. ID</w:t>
            </w:r>
          </w:p>
        </w:tc>
        <w:tc>
          <w:tcPr>
            <w:tcW w:type="dxa" w:w="8496"/>
            <w:shd w:fill="1F4E79"/>
            <w:vAlign w:val="top"/>
          </w:tcPr>
          <w:p>
            <w:pPr>
              <w:spacing w:after="0"/>
            </w:pPr>
            <w:r/>
            <w:r>
              <w:rPr>
                <w:b/>
                <w:color w:val="FFFFFF"/>
              </w:rPr>
              <w:t>Requirement</w:t>
            </w:r>
          </w:p>
        </w:tc>
      </w:tr>
      <w:tr>
        <w:trPr>
          <w:cantSplit/>
        </w:trPr>
        <w:tc>
          <w:tcPr>
            <w:tcW w:type="dxa" w:w="1656"/>
            <w:vAlign w:val="top"/>
          </w:tcPr>
          <w:p>
            <w:pPr>
              <w:spacing w:after="0"/>
            </w:pPr>
            <w:r/>
            <w:r>
              <w:rPr>
                <w:b w:val="0"/>
              </w:rPr>
              <w:t>AUD-FR-012</w:t>
            </w:r>
          </w:p>
        </w:tc>
        <w:tc>
          <w:tcPr>
            <w:tcW w:type="dxa" w:w="8496"/>
            <w:vAlign w:val="top"/>
          </w:tcPr>
          <w:p>
            <w:pPr>
              <w:spacing w:after="0"/>
            </w:pPr>
            <w:r/>
            <w:r>
              <w:rPr>
                <w:b w:val="0"/>
              </w:rPr>
              <w:t>The tool shall preserve the selected template’s cover page layout, branding, section hierarchy, headers/footers, TOC/index style, and table styling as closely as practical.</w:t>
            </w:r>
          </w:p>
        </w:tc>
      </w:tr>
      <w:tr>
        <w:trPr>
          <w:cantSplit/>
        </w:trPr>
        <w:tc>
          <w:tcPr>
            <w:tcW w:type="dxa" w:w="1656"/>
            <w:vAlign w:val="top"/>
          </w:tcPr>
          <w:p>
            <w:pPr>
              <w:spacing w:after="0"/>
            </w:pPr>
            <w:r/>
            <w:r>
              <w:rPr>
                <w:b w:val="0"/>
              </w:rPr>
              <w:t>AUD-FR-013</w:t>
            </w:r>
          </w:p>
        </w:tc>
        <w:tc>
          <w:tcPr>
            <w:tcW w:type="dxa" w:w="8496"/>
            <w:vAlign w:val="top"/>
          </w:tcPr>
          <w:p>
            <w:pPr>
              <w:spacing w:after="0"/>
            </w:pPr>
            <w:r/>
            <w:r>
              <w:rPr>
                <w:b w:val="0"/>
              </w:rPr>
              <w:t>The tool shall start generated AUDs at Version 1.0.</w:t>
            </w:r>
          </w:p>
        </w:tc>
      </w:tr>
      <w:tr>
        <w:trPr>
          <w:cantSplit/>
        </w:trPr>
        <w:tc>
          <w:tcPr>
            <w:tcW w:type="dxa" w:w="1656"/>
            <w:vAlign w:val="top"/>
          </w:tcPr>
          <w:p>
            <w:pPr>
              <w:spacing w:after="0"/>
            </w:pPr>
            <w:r/>
            <w:r>
              <w:rPr>
                <w:b w:val="0"/>
              </w:rPr>
              <w:t>AUD-FR-014</w:t>
            </w:r>
          </w:p>
        </w:tc>
        <w:tc>
          <w:tcPr>
            <w:tcW w:type="dxa" w:w="8496"/>
            <w:vAlign w:val="top"/>
          </w:tcPr>
          <w:p>
            <w:pPr>
              <w:spacing w:after="0"/>
            </w:pPr>
            <w:r/>
            <w:r>
              <w:rPr>
                <w:b w:val="0"/>
              </w:rPr>
              <w:t>The tool shall leave author/reviewer fields blank when not provided.</w:t>
            </w:r>
          </w:p>
        </w:tc>
      </w:tr>
      <w:tr>
        <w:trPr>
          <w:cantSplit/>
        </w:trPr>
        <w:tc>
          <w:tcPr>
            <w:tcW w:type="dxa" w:w="1656"/>
            <w:vAlign w:val="top"/>
          </w:tcPr>
          <w:p>
            <w:pPr>
              <w:spacing w:after="0"/>
            </w:pPr>
            <w:r/>
            <w:r>
              <w:rPr>
                <w:b w:val="0"/>
              </w:rPr>
              <w:t>AUD-FR-015</w:t>
            </w:r>
          </w:p>
        </w:tc>
        <w:tc>
          <w:tcPr>
            <w:tcW w:type="dxa" w:w="8496"/>
            <w:vAlign w:val="top"/>
          </w:tcPr>
          <w:p>
            <w:pPr>
              <w:spacing w:after="0"/>
            </w:pPr>
            <w:r/>
            <w:r>
              <w:rPr>
                <w:b w:val="0"/>
              </w:rPr>
              <w:t>The tool shall omit unsupported sections rather than force-fill them.</w:t>
            </w:r>
          </w:p>
        </w:tc>
      </w:tr>
      <w:tr>
        <w:trPr>
          <w:cantSplit/>
        </w:trPr>
        <w:tc>
          <w:tcPr>
            <w:tcW w:type="dxa" w:w="1656"/>
            <w:vAlign w:val="top"/>
          </w:tcPr>
          <w:p>
            <w:pPr>
              <w:spacing w:after="0"/>
            </w:pPr>
            <w:r/>
            <w:r>
              <w:rPr>
                <w:b w:val="0"/>
              </w:rPr>
              <w:t>AUD-FR-016</w:t>
            </w:r>
          </w:p>
        </w:tc>
        <w:tc>
          <w:tcPr>
            <w:tcW w:type="dxa" w:w="8496"/>
            <w:vAlign w:val="top"/>
          </w:tcPr>
          <w:p>
            <w:pPr>
              <w:spacing w:after="0"/>
            </w:pPr>
            <w:r/>
            <w:r>
              <w:rPr>
                <w:b w:val="0"/>
              </w:rPr>
              <w:t>The tool shall support single-module and multi-module AUDs.</w:t>
            </w:r>
          </w:p>
        </w:tc>
      </w:tr>
      <w:tr>
        <w:trPr>
          <w:cantSplit/>
        </w:trPr>
        <w:tc>
          <w:tcPr>
            <w:tcW w:type="dxa" w:w="1656"/>
            <w:vAlign w:val="top"/>
          </w:tcPr>
          <w:p>
            <w:pPr>
              <w:spacing w:after="0"/>
            </w:pPr>
            <w:r/>
            <w:r>
              <w:rPr>
                <w:b w:val="0"/>
              </w:rPr>
              <w:t>AUD-FR-017</w:t>
            </w:r>
          </w:p>
        </w:tc>
        <w:tc>
          <w:tcPr>
            <w:tcW w:type="dxa" w:w="8496"/>
            <w:vAlign w:val="top"/>
          </w:tcPr>
          <w:p>
            <w:pPr>
              <w:spacing w:after="0"/>
            </w:pPr>
            <w:r/>
            <w:r>
              <w:rPr>
                <w:b w:val="0"/>
              </w:rPr>
              <w:t>The tool shall sequence processes based on logical process flow or KT/source order where possible.</w:t>
            </w:r>
          </w:p>
        </w:tc>
      </w:tr>
    </w:tbl>
    <w:p/>
    <w:p>
      <w:pPr>
        <w:pStyle w:val="Heading2"/>
      </w:pPr>
      <w:r>
        <w:t>D. Content Generation Requirements</w:t>
      </w:r>
    </w:p>
    <w:tbl>
      <w:tblPr>
        <w:tblStyle w:val="TableGrid"/>
        <w:tblW w:type="auto" w:w="0"/>
        <w:jc w:val="center"/>
        <w:tblLook w:firstColumn="1" w:firstRow="1" w:lastColumn="0" w:lastRow="0" w:noHBand="0" w:noVBand="1" w:val="04A0"/>
      </w:tblPr>
      <w:tblGrid>
        <w:gridCol w:w="5040"/>
        <w:gridCol w:w="5040"/>
      </w:tblGrid>
      <w:tr>
        <w:trPr>
          <w:cantSplit/>
        </w:trPr>
        <w:tc>
          <w:tcPr>
            <w:tcW w:type="dxa" w:w="1656"/>
            <w:shd w:fill="1F4E79"/>
            <w:vAlign w:val="top"/>
          </w:tcPr>
          <w:p>
            <w:pPr>
              <w:spacing w:after="0"/>
            </w:pPr>
            <w:r/>
            <w:r>
              <w:rPr>
                <w:b/>
                <w:color w:val="FFFFFF"/>
              </w:rPr>
              <w:t>Req. ID</w:t>
            </w:r>
          </w:p>
        </w:tc>
        <w:tc>
          <w:tcPr>
            <w:tcW w:type="dxa" w:w="8496"/>
            <w:shd w:fill="1F4E79"/>
            <w:vAlign w:val="top"/>
          </w:tcPr>
          <w:p>
            <w:pPr>
              <w:spacing w:after="0"/>
            </w:pPr>
            <w:r/>
            <w:r>
              <w:rPr>
                <w:b/>
                <w:color w:val="FFFFFF"/>
              </w:rPr>
              <w:t>Requirement</w:t>
            </w:r>
          </w:p>
        </w:tc>
      </w:tr>
      <w:tr>
        <w:trPr>
          <w:cantSplit/>
        </w:trPr>
        <w:tc>
          <w:tcPr>
            <w:tcW w:type="dxa" w:w="1656"/>
            <w:vAlign w:val="top"/>
          </w:tcPr>
          <w:p>
            <w:pPr>
              <w:spacing w:after="0"/>
            </w:pPr>
            <w:r/>
            <w:r>
              <w:rPr>
                <w:b w:val="0"/>
              </w:rPr>
              <w:t>AUD-FR-018</w:t>
            </w:r>
          </w:p>
        </w:tc>
        <w:tc>
          <w:tcPr>
            <w:tcW w:type="dxa" w:w="8496"/>
            <w:vAlign w:val="top"/>
          </w:tcPr>
          <w:p>
            <w:pPr>
              <w:spacing w:after="0"/>
            </w:pPr>
            <w:r/>
            <w:r>
              <w:rPr>
                <w:b w:val="0"/>
              </w:rPr>
              <w:t>The tool shall generate professional, business-oriented AUD wording from factual source material.</w:t>
            </w:r>
          </w:p>
        </w:tc>
      </w:tr>
      <w:tr>
        <w:trPr>
          <w:cantSplit/>
        </w:trPr>
        <w:tc>
          <w:tcPr>
            <w:tcW w:type="dxa" w:w="1656"/>
            <w:vAlign w:val="top"/>
          </w:tcPr>
          <w:p>
            <w:pPr>
              <w:spacing w:after="0"/>
            </w:pPr>
            <w:r/>
            <w:r>
              <w:rPr>
                <w:b w:val="0"/>
              </w:rPr>
              <w:t>AUD-FR-019</w:t>
            </w:r>
          </w:p>
        </w:tc>
        <w:tc>
          <w:tcPr>
            <w:tcW w:type="dxa" w:w="8496"/>
            <w:vAlign w:val="top"/>
          </w:tcPr>
          <w:p>
            <w:pPr>
              <w:spacing w:after="0"/>
            </w:pPr>
            <w:r/>
            <w:r>
              <w:rPr>
                <w:b w:val="0"/>
              </w:rPr>
              <w:t>The tool shall capture important KT points and project-specific configuration details without changing meaning.</w:t>
            </w:r>
          </w:p>
        </w:tc>
      </w:tr>
      <w:tr>
        <w:trPr>
          <w:cantSplit/>
        </w:trPr>
        <w:tc>
          <w:tcPr>
            <w:tcW w:type="dxa" w:w="1656"/>
            <w:vAlign w:val="top"/>
          </w:tcPr>
          <w:p>
            <w:pPr>
              <w:spacing w:after="0"/>
            </w:pPr>
            <w:r/>
            <w:r>
              <w:rPr>
                <w:b w:val="0"/>
              </w:rPr>
              <w:t>AUD-FR-020</w:t>
            </w:r>
          </w:p>
        </w:tc>
        <w:tc>
          <w:tcPr>
            <w:tcW w:type="dxa" w:w="8496"/>
            <w:vAlign w:val="top"/>
          </w:tcPr>
          <w:p>
            <w:pPr>
              <w:spacing w:after="0"/>
            </w:pPr>
            <w:r/>
            <w:r>
              <w:rPr>
                <w:b w:val="0"/>
              </w:rPr>
              <w:t>The tool shall not hallucinate customer descriptions, configuration values, reports, RICEW items, roles, navigation steps, or business rules.</w:t>
            </w:r>
          </w:p>
        </w:tc>
      </w:tr>
      <w:tr>
        <w:trPr>
          <w:cantSplit/>
        </w:trPr>
        <w:tc>
          <w:tcPr>
            <w:tcW w:type="dxa" w:w="1656"/>
            <w:vAlign w:val="top"/>
          </w:tcPr>
          <w:p>
            <w:pPr>
              <w:spacing w:after="0"/>
            </w:pPr>
            <w:r/>
            <w:r>
              <w:rPr>
                <w:b w:val="0"/>
              </w:rPr>
              <w:t>AUD-FR-021</w:t>
            </w:r>
          </w:p>
        </w:tc>
        <w:tc>
          <w:tcPr>
            <w:tcW w:type="dxa" w:w="8496"/>
            <w:vAlign w:val="top"/>
          </w:tcPr>
          <w:p>
            <w:pPr>
              <w:spacing w:after="0"/>
            </w:pPr>
            <w:r/>
            <w:r>
              <w:rPr>
                <w:b w:val="0"/>
              </w:rPr>
              <w:t>The tool shall include AI-generated explanations only when grounded in source material.</w:t>
            </w:r>
          </w:p>
        </w:tc>
      </w:tr>
      <w:tr>
        <w:trPr>
          <w:cantSplit/>
        </w:trPr>
        <w:tc>
          <w:tcPr>
            <w:tcW w:type="dxa" w:w="1656"/>
            <w:vAlign w:val="top"/>
          </w:tcPr>
          <w:p>
            <w:pPr>
              <w:spacing w:after="0"/>
            </w:pPr>
            <w:r/>
            <w:r>
              <w:rPr>
                <w:b w:val="0"/>
              </w:rPr>
              <w:t>AUD-FR-022</w:t>
            </w:r>
          </w:p>
        </w:tc>
        <w:tc>
          <w:tcPr>
            <w:tcW w:type="dxa" w:w="8496"/>
            <w:vAlign w:val="top"/>
          </w:tcPr>
          <w:p>
            <w:pPr>
              <w:spacing w:after="0"/>
            </w:pPr>
            <w:r/>
            <w:r>
              <w:rPr>
                <w:b w:val="0"/>
              </w:rPr>
              <w:t>The tool shall generate glossary entries only from acronyms/terms detected in input material.</w:t>
            </w:r>
          </w:p>
        </w:tc>
      </w:tr>
      <w:tr>
        <w:trPr>
          <w:cantSplit/>
        </w:trPr>
        <w:tc>
          <w:tcPr>
            <w:tcW w:type="dxa" w:w="1656"/>
            <w:vAlign w:val="top"/>
          </w:tcPr>
          <w:p>
            <w:pPr>
              <w:spacing w:after="0"/>
            </w:pPr>
            <w:r/>
            <w:r>
              <w:rPr>
                <w:b w:val="0"/>
              </w:rPr>
              <w:t>AUD-FR-023</w:t>
            </w:r>
          </w:p>
        </w:tc>
        <w:tc>
          <w:tcPr>
            <w:tcW w:type="dxa" w:w="8496"/>
            <w:vAlign w:val="top"/>
          </w:tcPr>
          <w:p>
            <w:pPr>
              <w:spacing w:after="0"/>
            </w:pPr>
            <w:r/>
            <w:r>
              <w:rPr>
                <w:b w:val="0"/>
              </w:rPr>
              <w:t>The tool shall include Reporting and RICEW only when mentioned or provided in inputs.</w:t>
            </w:r>
          </w:p>
        </w:tc>
      </w:tr>
      <w:tr>
        <w:trPr>
          <w:cantSplit/>
        </w:trPr>
        <w:tc>
          <w:tcPr>
            <w:tcW w:type="dxa" w:w="1656"/>
            <w:vAlign w:val="top"/>
          </w:tcPr>
          <w:p>
            <w:pPr>
              <w:spacing w:after="0"/>
            </w:pPr>
            <w:r/>
            <w:r>
              <w:rPr>
                <w:b w:val="0"/>
              </w:rPr>
              <w:t>AUD-FR-024</w:t>
            </w:r>
          </w:p>
        </w:tc>
        <w:tc>
          <w:tcPr>
            <w:tcW w:type="dxa" w:w="8496"/>
            <w:vAlign w:val="top"/>
          </w:tcPr>
          <w:p>
            <w:pPr>
              <w:spacing w:after="0"/>
            </w:pPr>
            <w:r/>
            <w:r>
              <w:rPr>
                <w:b w:val="0"/>
              </w:rPr>
              <w:t>The tool shall not include a Documents Referred section for now.</w:t>
            </w:r>
          </w:p>
        </w:tc>
      </w:tr>
    </w:tbl>
    <w:p/>
    <w:p>
      <w:pPr>
        <w:pStyle w:val="Heading2"/>
      </w:pPr>
      <w:r>
        <w:t>E. Image, Table, and Flow Requirements</w:t>
      </w:r>
    </w:p>
    <w:tbl>
      <w:tblPr>
        <w:tblStyle w:val="TableGrid"/>
        <w:tblW w:type="auto" w:w="0"/>
        <w:jc w:val="center"/>
        <w:tblLook w:firstColumn="1" w:firstRow="1" w:lastColumn="0" w:lastRow="0" w:noHBand="0" w:noVBand="1" w:val="04A0"/>
      </w:tblPr>
      <w:tblGrid>
        <w:gridCol w:w="5040"/>
        <w:gridCol w:w="5040"/>
      </w:tblGrid>
      <w:tr>
        <w:trPr>
          <w:cantSplit/>
        </w:trPr>
        <w:tc>
          <w:tcPr>
            <w:tcW w:type="dxa" w:w="1656"/>
            <w:shd w:fill="1F4E79"/>
            <w:vAlign w:val="top"/>
          </w:tcPr>
          <w:p>
            <w:pPr>
              <w:spacing w:after="0"/>
            </w:pPr>
            <w:r/>
            <w:r>
              <w:rPr>
                <w:b/>
                <w:color w:val="FFFFFF"/>
              </w:rPr>
              <w:t>Req. ID</w:t>
            </w:r>
          </w:p>
        </w:tc>
        <w:tc>
          <w:tcPr>
            <w:tcW w:type="dxa" w:w="8496"/>
            <w:shd w:fill="1F4E79"/>
            <w:vAlign w:val="top"/>
          </w:tcPr>
          <w:p>
            <w:pPr>
              <w:spacing w:after="0"/>
            </w:pPr>
            <w:r/>
            <w:r>
              <w:rPr>
                <w:b/>
                <w:color w:val="FFFFFF"/>
              </w:rPr>
              <w:t>Requirement</w:t>
            </w:r>
          </w:p>
        </w:tc>
      </w:tr>
      <w:tr>
        <w:trPr>
          <w:cantSplit/>
        </w:trPr>
        <w:tc>
          <w:tcPr>
            <w:tcW w:type="dxa" w:w="1656"/>
            <w:vAlign w:val="top"/>
          </w:tcPr>
          <w:p>
            <w:pPr>
              <w:spacing w:after="0"/>
            </w:pPr>
            <w:r/>
            <w:r>
              <w:rPr>
                <w:b w:val="0"/>
              </w:rPr>
              <w:t>AUD-FR-025</w:t>
            </w:r>
          </w:p>
        </w:tc>
        <w:tc>
          <w:tcPr>
            <w:tcW w:type="dxa" w:w="8496"/>
            <w:vAlign w:val="top"/>
          </w:tcPr>
          <w:p>
            <w:pPr>
              <w:spacing w:after="0"/>
            </w:pPr>
            <w:r/>
            <w:r>
              <w:rPr>
                <w:b w:val="0"/>
              </w:rPr>
              <w:t>The tool shall extract PPT/supporting-document images as-is and place relevant images under appropriate AUD sections.</w:t>
            </w:r>
          </w:p>
        </w:tc>
      </w:tr>
      <w:tr>
        <w:trPr>
          <w:cantSplit/>
        </w:trPr>
        <w:tc>
          <w:tcPr>
            <w:tcW w:type="dxa" w:w="1656"/>
            <w:vAlign w:val="top"/>
          </w:tcPr>
          <w:p>
            <w:pPr>
              <w:spacing w:after="0"/>
            </w:pPr>
            <w:r/>
            <w:r>
              <w:rPr>
                <w:b w:val="0"/>
              </w:rPr>
              <w:t>AUD-FR-026</w:t>
            </w:r>
          </w:p>
        </w:tc>
        <w:tc>
          <w:tcPr>
            <w:tcW w:type="dxa" w:w="8496"/>
            <w:vAlign w:val="top"/>
          </w:tcPr>
          <w:p>
            <w:pPr>
              <w:spacing w:after="0"/>
            </w:pPr>
            <w:r/>
            <w:r>
              <w:rPr>
                <w:b w:val="0"/>
              </w:rPr>
              <w:t>The tool shall prioritize screenshots/images based on KT presenter focus and relevance.</w:t>
            </w:r>
          </w:p>
        </w:tc>
      </w:tr>
      <w:tr>
        <w:trPr>
          <w:cantSplit/>
        </w:trPr>
        <w:tc>
          <w:tcPr>
            <w:tcW w:type="dxa" w:w="1656"/>
            <w:vAlign w:val="top"/>
          </w:tcPr>
          <w:p>
            <w:pPr>
              <w:spacing w:after="0"/>
            </w:pPr>
            <w:r/>
            <w:r>
              <w:rPr>
                <w:b w:val="0"/>
              </w:rPr>
              <w:t>AUD-FR-027</w:t>
            </w:r>
          </w:p>
        </w:tc>
        <w:tc>
          <w:tcPr>
            <w:tcW w:type="dxa" w:w="8496"/>
            <w:vAlign w:val="top"/>
          </w:tcPr>
          <w:p>
            <w:pPr>
              <w:spacing w:after="0"/>
            </w:pPr>
            <w:r/>
            <w:r>
              <w:rPr>
                <w:b w:val="0"/>
              </w:rPr>
              <w:t>The tool shall exclude decorative, duplicate, agenda, welcome, and thank-you slides/images.</w:t>
            </w:r>
          </w:p>
        </w:tc>
      </w:tr>
      <w:tr>
        <w:trPr>
          <w:cantSplit/>
        </w:trPr>
        <w:tc>
          <w:tcPr>
            <w:tcW w:type="dxa" w:w="1656"/>
            <w:vAlign w:val="top"/>
          </w:tcPr>
          <w:p>
            <w:pPr>
              <w:spacing w:after="0"/>
            </w:pPr>
            <w:r/>
            <w:r>
              <w:rPr>
                <w:b w:val="0"/>
              </w:rPr>
              <w:t>AUD-FR-028</w:t>
            </w:r>
          </w:p>
        </w:tc>
        <w:tc>
          <w:tcPr>
            <w:tcW w:type="dxa" w:w="8496"/>
            <w:vAlign w:val="top"/>
          </w:tcPr>
          <w:p>
            <w:pPr>
              <w:spacing w:after="0"/>
            </w:pPr>
            <w:r/>
            <w:r>
              <w:rPr>
                <w:b w:val="0"/>
              </w:rPr>
              <w:t>The tool shall preserve exact table values for configuration/business-rule/process-mapping data.</w:t>
            </w:r>
          </w:p>
        </w:tc>
      </w:tr>
      <w:tr>
        <w:trPr>
          <w:cantSplit/>
        </w:trPr>
        <w:tc>
          <w:tcPr>
            <w:tcW w:type="dxa" w:w="1656"/>
            <w:vAlign w:val="top"/>
          </w:tcPr>
          <w:p>
            <w:pPr>
              <w:spacing w:after="0"/>
            </w:pPr>
            <w:r/>
            <w:r>
              <w:rPr>
                <w:b w:val="0"/>
              </w:rPr>
              <w:t>AUD-FR-029</w:t>
            </w:r>
          </w:p>
        </w:tc>
        <w:tc>
          <w:tcPr>
            <w:tcW w:type="dxa" w:w="8496"/>
            <w:vAlign w:val="top"/>
          </w:tcPr>
          <w:p>
            <w:pPr>
              <w:spacing w:after="0"/>
            </w:pPr>
            <w:r/>
            <w:r>
              <w:rPr>
                <w:b w:val="0"/>
              </w:rPr>
              <w:t>The tool shall generate flow/process representations when a flow is clearly explained but no process image exists.</w:t>
            </w:r>
          </w:p>
        </w:tc>
      </w:tr>
      <w:tr>
        <w:trPr>
          <w:cantSplit/>
        </w:trPr>
        <w:tc>
          <w:tcPr>
            <w:tcW w:type="dxa" w:w="1656"/>
            <w:vAlign w:val="top"/>
          </w:tcPr>
          <w:p>
            <w:pPr>
              <w:spacing w:after="0"/>
            </w:pPr>
            <w:r/>
            <w:r>
              <w:rPr>
                <w:b w:val="0"/>
              </w:rPr>
              <w:t>AUD-FR-030</w:t>
            </w:r>
          </w:p>
        </w:tc>
        <w:tc>
          <w:tcPr>
            <w:tcW w:type="dxa" w:w="8496"/>
            <w:vAlign w:val="top"/>
          </w:tcPr>
          <w:p>
            <w:pPr>
              <w:spacing w:after="0"/>
            </w:pPr>
            <w:r/>
            <w:r>
              <w:rPr>
                <w:b w:val="0"/>
              </w:rPr>
              <w:t>The tool shall not extract screenshots directly from video in the first version.</w:t>
            </w:r>
          </w:p>
        </w:tc>
      </w:tr>
    </w:tbl>
    <w:p/>
    <w:p>
      <w:pPr>
        <w:pStyle w:val="Heading2"/>
      </w:pPr>
      <w:r>
        <w:t>F. Transcript and Timestamp Requirements</w:t>
      </w:r>
    </w:p>
    <w:tbl>
      <w:tblPr>
        <w:tblStyle w:val="TableGrid"/>
        <w:tblW w:type="auto" w:w="0"/>
        <w:jc w:val="center"/>
        <w:tblLook w:firstColumn="1" w:firstRow="1" w:lastColumn="0" w:lastRow="0" w:noHBand="0" w:noVBand="1" w:val="04A0"/>
      </w:tblPr>
      <w:tblGrid>
        <w:gridCol w:w="5040"/>
        <w:gridCol w:w="5040"/>
      </w:tblGrid>
      <w:tr>
        <w:trPr>
          <w:cantSplit/>
        </w:trPr>
        <w:tc>
          <w:tcPr>
            <w:tcW w:type="dxa" w:w="1656"/>
            <w:shd w:fill="1F4E79"/>
            <w:vAlign w:val="top"/>
          </w:tcPr>
          <w:p>
            <w:pPr>
              <w:spacing w:after="0"/>
            </w:pPr>
            <w:r/>
            <w:r>
              <w:rPr>
                <w:b/>
                <w:color w:val="FFFFFF"/>
              </w:rPr>
              <w:t>Req. ID</w:t>
            </w:r>
          </w:p>
        </w:tc>
        <w:tc>
          <w:tcPr>
            <w:tcW w:type="dxa" w:w="8496"/>
            <w:shd w:fill="1F4E79"/>
            <w:vAlign w:val="top"/>
          </w:tcPr>
          <w:p>
            <w:pPr>
              <w:spacing w:after="0"/>
            </w:pPr>
            <w:r/>
            <w:r>
              <w:rPr>
                <w:b/>
                <w:color w:val="FFFFFF"/>
              </w:rPr>
              <w:t>Requirement</w:t>
            </w:r>
          </w:p>
        </w:tc>
      </w:tr>
      <w:tr>
        <w:trPr>
          <w:cantSplit/>
        </w:trPr>
        <w:tc>
          <w:tcPr>
            <w:tcW w:type="dxa" w:w="1656"/>
            <w:vAlign w:val="top"/>
          </w:tcPr>
          <w:p>
            <w:pPr>
              <w:spacing w:after="0"/>
            </w:pPr>
            <w:r/>
            <w:r>
              <w:rPr>
                <w:b w:val="0"/>
              </w:rPr>
              <w:t>AUD-FR-031</w:t>
            </w:r>
          </w:p>
        </w:tc>
        <w:tc>
          <w:tcPr>
            <w:tcW w:type="dxa" w:w="8496"/>
            <w:vAlign w:val="top"/>
          </w:tcPr>
          <w:p>
            <w:pPr>
              <w:spacing w:after="0"/>
            </w:pPr>
            <w:r/>
            <w:r>
              <w:rPr>
                <w:b w:val="0"/>
              </w:rPr>
              <w:t>The tool shall generate a transcript from uploaded KT video/audio during actual use.</w:t>
            </w:r>
          </w:p>
        </w:tc>
      </w:tr>
      <w:tr>
        <w:trPr>
          <w:cantSplit/>
        </w:trPr>
        <w:tc>
          <w:tcPr>
            <w:tcW w:type="dxa" w:w="1656"/>
            <w:vAlign w:val="top"/>
          </w:tcPr>
          <w:p>
            <w:pPr>
              <w:spacing w:after="0"/>
            </w:pPr>
            <w:r/>
            <w:r>
              <w:rPr>
                <w:b w:val="0"/>
              </w:rPr>
              <w:t>AUD-FR-032</w:t>
            </w:r>
          </w:p>
        </w:tc>
        <w:tc>
          <w:tcPr>
            <w:tcW w:type="dxa" w:w="8496"/>
            <w:vAlign w:val="top"/>
          </w:tcPr>
          <w:p>
            <w:pPr>
              <w:spacing w:after="0"/>
            </w:pPr>
            <w:r/>
            <w:r>
              <w:rPr>
                <w:b w:val="0"/>
              </w:rPr>
              <w:t>The tool shall not require speaker names in the first version.</w:t>
            </w:r>
          </w:p>
        </w:tc>
      </w:tr>
      <w:tr>
        <w:trPr>
          <w:cantSplit/>
        </w:trPr>
        <w:tc>
          <w:tcPr>
            <w:tcW w:type="dxa" w:w="1656"/>
            <w:vAlign w:val="top"/>
          </w:tcPr>
          <w:p>
            <w:pPr>
              <w:spacing w:after="0"/>
            </w:pPr>
            <w:r/>
            <w:r>
              <w:rPr>
                <w:b w:val="0"/>
              </w:rPr>
              <w:t>AUD-FR-033</w:t>
            </w:r>
          </w:p>
        </w:tc>
        <w:tc>
          <w:tcPr>
            <w:tcW w:type="dxa" w:w="8496"/>
            <w:vAlign w:val="top"/>
          </w:tcPr>
          <w:p>
            <w:pPr>
              <w:spacing w:after="0"/>
            </w:pPr>
            <w:r/>
            <w:r>
              <w:rPr>
                <w:b w:val="0"/>
              </w:rPr>
              <w:t>The tool shall remove filler, repeated explanations, and unrelated discussion from generated AUD content.</w:t>
            </w:r>
          </w:p>
        </w:tc>
      </w:tr>
      <w:tr>
        <w:trPr>
          <w:cantSplit/>
        </w:trPr>
        <w:tc>
          <w:tcPr>
            <w:tcW w:type="dxa" w:w="1656"/>
            <w:vAlign w:val="top"/>
          </w:tcPr>
          <w:p>
            <w:pPr>
              <w:spacing w:after="0"/>
            </w:pPr>
            <w:r/>
            <w:r>
              <w:rPr>
                <w:b w:val="0"/>
              </w:rPr>
              <w:t>AUD-FR-034</w:t>
            </w:r>
          </w:p>
        </w:tc>
        <w:tc>
          <w:tcPr>
            <w:tcW w:type="dxa" w:w="8496"/>
            <w:vAlign w:val="top"/>
          </w:tcPr>
          <w:p>
            <w:pPr>
              <w:spacing w:after="0"/>
            </w:pPr>
            <w:r/>
            <w:r>
              <w:rPr>
                <w:b w:val="0"/>
              </w:rPr>
              <w:t>The tool shall use timestamps for important video-discussed points where manual screenshots may need to be added later.</w:t>
            </w:r>
          </w:p>
        </w:tc>
      </w:tr>
      <w:tr>
        <w:trPr>
          <w:cantSplit/>
        </w:trPr>
        <w:tc>
          <w:tcPr>
            <w:tcW w:type="dxa" w:w="1656"/>
            <w:vAlign w:val="top"/>
          </w:tcPr>
          <w:p>
            <w:pPr>
              <w:spacing w:after="0"/>
            </w:pPr>
            <w:r/>
            <w:r>
              <w:rPr>
                <w:b w:val="0"/>
              </w:rPr>
              <w:t>AUD-FR-035</w:t>
            </w:r>
          </w:p>
        </w:tc>
        <w:tc>
          <w:tcPr>
            <w:tcW w:type="dxa" w:w="8496"/>
            <w:vAlign w:val="top"/>
          </w:tcPr>
          <w:p>
            <w:pPr>
              <w:spacing w:after="0"/>
            </w:pPr>
            <w:r/>
            <w:r>
              <w:rPr>
                <w:b w:val="0"/>
              </w:rPr>
              <w:t>Timestamp-based manual screenshot items shall be listed in Open Points only when manual action or clarification is required.</w:t>
            </w:r>
          </w:p>
        </w:tc>
      </w:tr>
    </w:tbl>
    <w:p/>
    <w:p>
      <w:pPr>
        <w:pStyle w:val="Heading2"/>
      </w:pPr>
      <w:r>
        <w:t>G. Configuration Workbook Requirements</w:t>
      </w:r>
    </w:p>
    <w:tbl>
      <w:tblPr>
        <w:tblStyle w:val="TableGrid"/>
        <w:tblW w:type="auto" w:w="0"/>
        <w:jc w:val="center"/>
        <w:tblLook w:firstColumn="1" w:firstRow="1" w:lastColumn="0" w:lastRow="0" w:noHBand="0" w:noVBand="1" w:val="04A0"/>
      </w:tblPr>
      <w:tblGrid>
        <w:gridCol w:w="5040"/>
        <w:gridCol w:w="5040"/>
      </w:tblGrid>
      <w:tr>
        <w:trPr>
          <w:cantSplit/>
        </w:trPr>
        <w:tc>
          <w:tcPr>
            <w:tcW w:type="dxa" w:w="1656"/>
            <w:shd w:fill="1F4E79"/>
            <w:vAlign w:val="top"/>
          </w:tcPr>
          <w:p>
            <w:pPr>
              <w:spacing w:after="0"/>
            </w:pPr>
            <w:r/>
            <w:r>
              <w:rPr>
                <w:b/>
                <w:color w:val="FFFFFF"/>
              </w:rPr>
              <w:t>Req. ID</w:t>
            </w:r>
          </w:p>
        </w:tc>
        <w:tc>
          <w:tcPr>
            <w:tcW w:type="dxa" w:w="8496"/>
            <w:shd w:fill="1F4E79"/>
            <w:vAlign w:val="top"/>
          </w:tcPr>
          <w:p>
            <w:pPr>
              <w:spacing w:after="0"/>
            </w:pPr>
            <w:r/>
            <w:r>
              <w:rPr>
                <w:b/>
                <w:color w:val="FFFFFF"/>
              </w:rPr>
              <w:t>Requirement</w:t>
            </w:r>
          </w:p>
        </w:tc>
      </w:tr>
      <w:tr>
        <w:trPr>
          <w:cantSplit/>
        </w:trPr>
        <w:tc>
          <w:tcPr>
            <w:tcW w:type="dxa" w:w="1656"/>
            <w:vAlign w:val="top"/>
          </w:tcPr>
          <w:p>
            <w:pPr>
              <w:spacing w:after="0"/>
            </w:pPr>
            <w:r/>
            <w:r>
              <w:rPr>
                <w:b w:val="0"/>
              </w:rPr>
              <w:t>AUD-FR-036</w:t>
            </w:r>
          </w:p>
        </w:tc>
        <w:tc>
          <w:tcPr>
            <w:tcW w:type="dxa" w:w="8496"/>
            <w:vAlign w:val="top"/>
          </w:tcPr>
          <w:p>
            <w:pPr>
              <w:spacing w:after="0"/>
            </w:pPr>
            <w:r/>
            <w:r>
              <w:rPr>
                <w:b w:val="0"/>
              </w:rPr>
              <w:t>The tool shall analyze transcript/FDD/PPT first to determine which workbook content is relevant.</w:t>
            </w:r>
          </w:p>
        </w:tc>
      </w:tr>
      <w:tr>
        <w:trPr>
          <w:cantSplit/>
        </w:trPr>
        <w:tc>
          <w:tcPr>
            <w:tcW w:type="dxa" w:w="1656"/>
            <w:vAlign w:val="top"/>
          </w:tcPr>
          <w:p>
            <w:pPr>
              <w:spacing w:after="0"/>
            </w:pPr>
            <w:r/>
            <w:r>
              <w:rPr>
                <w:b w:val="0"/>
              </w:rPr>
              <w:t>AUD-FR-037</w:t>
            </w:r>
          </w:p>
        </w:tc>
        <w:tc>
          <w:tcPr>
            <w:tcW w:type="dxa" w:w="8496"/>
            <w:vAlign w:val="top"/>
          </w:tcPr>
          <w:p>
            <w:pPr>
              <w:spacing w:after="0"/>
            </w:pPr>
            <w:r/>
            <w:r>
              <w:rPr>
                <w:b w:val="0"/>
              </w:rPr>
              <w:t>The tool shall include workbook content only when it is relevant to, supported by, or required by the KT/FDD/PPT topic.</w:t>
            </w:r>
          </w:p>
        </w:tc>
      </w:tr>
      <w:tr>
        <w:trPr>
          <w:cantSplit/>
        </w:trPr>
        <w:tc>
          <w:tcPr>
            <w:tcW w:type="dxa" w:w="1656"/>
            <w:vAlign w:val="top"/>
          </w:tcPr>
          <w:p>
            <w:pPr>
              <w:spacing w:after="0"/>
            </w:pPr>
            <w:r/>
            <w:r>
              <w:rPr>
                <w:b w:val="0"/>
              </w:rPr>
              <w:t>AUD-FR-038</w:t>
            </w:r>
          </w:p>
        </w:tc>
        <w:tc>
          <w:tcPr>
            <w:tcW w:type="dxa" w:w="8496"/>
            <w:vAlign w:val="top"/>
          </w:tcPr>
          <w:p>
            <w:pPr>
              <w:spacing w:after="0"/>
            </w:pPr>
            <w:r/>
            <w:r>
              <w:rPr>
                <w:b w:val="0"/>
              </w:rPr>
              <w:t>The tool shall convert relevant workbook content into readable AUD tables or prose as appropriate.</w:t>
            </w:r>
          </w:p>
        </w:tc>
      </w:tr>
      <w:tr>
        <w:trPr>
          <w:cantSplit/>
        </w:trPr>
        <w:tc>
          <w:tcPr>
            <w:tcW w:type="dxa" w:w="1656"/>
            <w:vAlign w:val="top"/>
          </w:tcPr>
          <w:p>
            <w:pPr>
              <w:spacing w:after="0"/>
            </w:pPr>
            <w:r/>
            <w:r>
              <w:rPr>
                <w:b w:val="0"/>
              </w:rPr>
              <w:t>AUD-FR-039</w:t>
            </w:r>
          </w:p>
        </w:tc>
        <w:tc>
          <w:tcPr>
            <w:tcW w:type="dxa" w:w="8496"/>
            <w:vAlign w:val="top"/>
          </w:tcPr>
          <w:p>
            <w:pPr>
              <w:spacing w:after="0"/>
            </w:pPr>
            <w:r/>
            <w:r>
              <w:rPr>
                <w:b w:val="0"/>
              </w:rPr>
              <w:t>The tool shall not blindly include entire workbook tabs or unrelated configuration details.</w:t>
            </w:r>
          </w:p>
        </w:tc>
      </w:tr>
      <w:tr>
        <w:trPr>
          <w:cantSplit/>
        </w:trPr>
        <w:tc>
          <w:tcPr>
            <w:tcW w:type="dxa" w:w="1656"/>
            <w:vAlign w:val="top"/>
          </w:tcPr>
          <w:p>
            <w:pPr>
              <w:spacing w:after="0"/>
            </w:pPr>
            <w:r/>
            <w:r>
              <w:rPr>
                <w:b w:val="0"/>
              </w:rPr>
              <w:t>AUD-FR-040</w:t>
            </w:r>
          </w:p>
        </w:tc>
        <w:tc>
          <w:tcPr>
            <w:tcW w:type="dxa" w:w="8496"/>
            <w:vAlign w:val="top"/>
          </w:tcPr>
          <w:p>
            <w:pPr>
              <w:spacing w:after="0"/>
            </w:pPr>
            <w:r/>
            <w:r>
              <w:rPr>
                <w:b w:val="0"/>
              </w:rPr>
              <w:t>The tool shall not include code/scripts from workbooks unless explicitly required later.</w:t>
            </w:r>
          </w:p>
        </w:tc>
      </w:tr>
    </w:tbl>
    <w:p/>
    <w:p>
      <w:pPr>
        <w:pStyle w:val="Heading2"/>
      </w:pPr>
      <w:r>
        <w:t>H. Open Points Requirements</w:t>
      </w:r>
    </w:p>
    <w:tbl>
      <w:tblPr>
        <w:tblStyle w:val="TableGrid"/>
        <w:tblW w:type="auto" w:w="0"/>
        <w:jc w:val="center"/>
        <w:tblLook w:firstColumn="1" w:firstRow="1" w:lastColumn="0" w:lastRow="0" w:noHBand="0" w:noVBand="1" w:val="04A0"/>
      </w:tblPr>
      <w:tblGrid>
        <w:gridCol w:w="5040"/>
        <w:gridCol w:w="5040"/>
      </w:tblGrid>
      <w:tr>
        <w:trPr>
          <w:cantSplit/>
        </w:trPr>
        <w:tc>
          <w:tcPr>
            <w:tcW w:type="dxa" w:w="1656"/>
            <w:shd w:fill="1F4E79"/>
            <w:vAlign w:val="top"/>
          </w:tcPr>
          <w:p>
            <w:pPr>
              <w:spacing w:after="0"/>
            </w:pPr>
            <w:r/>
            <w:r>
              <w:rPr>
                <w:b/>
                <w:color w:val="FFFFFF"/>
              </w:rPr>
              <w:t>Req. ID</w:t>
            </w:r>
          </w:p>
        </w:tc>
        <w:tc>
          <w:tcPr>
            <w:tcW w:type="dxa" w:w="8496"/>
            <w:shd w:fill="1F4E79"/>
            <w:vAlign w:val="top"/>
          </w:tcPr>
          <w:p>
            <w:pPr>
              <w:spacing w:after="0"/>
            </w:pPr>
            <w:r/>
            <w:r>
              <w:rPr>
                <w:b/>
                <w:color w:val="FFFFFF"/>
              </w:rPr>
              <w:t>Requirement</w:t>
            </w:r>
          </w:p>
        </w:tc>
      </w:tr>
      <w:tr>
        <w:trPr>
          <w:cantSplit/>
        </w:trPr>
        <w:tc>
          <w:tcPr>
            <w:tcW w:type="dxa" w:w="1656"/>
            <w:vAlign w:val="top"/>
          </w:tcPr>
          <w:p>
            <w:pPr>
              <w:spacing w:after="0"/>
            </w:pPr>
            <w:r/>
            <w:r>
              <w:rPr>
                <w:b w:val="0"/>
              </w:rPr>
              <w:t>AUD-FR-041</w:t>
            </w:r>
          </w:p>
        </w:tc>
        <w:tc>
          <w:tcPr>
            <w:tcW w:type="dxa" w:w="8496"/>
            <w:vAlign w:val="top"/>
          </w:tcPr>
          <w:p>
            <w:pPr>
              <w:spacing w:after="0"/>
            </w:pPr>
            <w:r/>
            <w:r>
              <w:rPr>
                <w:b w:val="0"/>
              </w:rPr>
              <w:t>The tool shall create an Open Points section using ID, Topic, Question, and Status.</w:t>
            </w:r>
          </w:p>
        </w:tc>
      </w:tr>
      <w:tr>
        <w:trPr>
          <w:cantSplit/>
        </w:trPr>
        <w:tc>
          <w:tcPr>
            <w:tcW w:type="dxa" w:w="1656"/>
            <w:vAlign w:val="top"/>
          </w:tcPr>
          <w:p>
            <w:pPr>
              <w:spacing w:after="0"/>
            </w:pPr>
            <w:r/>
            <w:r>
              <w:rPr>
                <w:b w:val="0"/>
              </w:rPr>
              <w:t>AUD-FR-042</w:t>
            </w:r>
          </w:p>
        </w:tc>
        <w:tc>
          <w:tcPr>
            <w:tcW w:type="dxa" w:w="8496"/>
            <w:vAlign w:val="top"/>
          </w:tcPr>
          <w:p>
            <w:pPr>
              <w:spacing w:after="0"/>
            </w:pPr>
            <w:r/>
            <w:r>
              <w:rPr>
                <w:b w:val="0"/>
              </w:rPr>
              <w:t>The tool shall include only unresolved questions, contradictions, low-confidence interpretations, or manual-action items in Open Points.</w:t>
            </w:r>
          </w:p>
        </w:tc>
      </w:tr>
      <w:tr>
        <w:trPr>
          <w:cantSplit/>
        </w:trPr>
        <w:tc>
          <w:tcPr>
            <w:tcW w:type="dxa" w:w="1656"/>
            <w:vAlign w:val="top"/>
          </w:tcPr>
          <w:p>
            <w:pPr>
              <w:spacing w:after="0"/>
            </w:pPr>
            <w:r/>
            <w:r>
              <w:rPr>
                <w:b w:val="0"/>
              </w:rPr>
              <w:t>AUD-FR-043</w:t>
            </w:r>
          </w:p>
        </w:tc>
        <w:tc>
          <w:tcPr>
            <w:tcW w:type="dxa" w:w="8496"/>
            <w:vAlign w:val="top"/>
          </w:tcPr>
          <w:p>
            <w:pPr>
              <w:spacing w:after="0"/>
            </w:pPr>
            <w:r/>
            <w:r>
              <w:rPr>
                <w:b w:val="0"/>
              </w:rPr>
              <w:t>The tool shall not include resolved questions in Open Points.</w:t>
            </w:r>
          </w:p>
        </w:tc>
      </w:tr>
      <w:tr>
        <w:trPr>
          <w:cantSplit/>
        </w:trPr>
        <w:tc>
          <w:tcPr>
            <w:tcW w:type="dxa" w:w="1656"/>
            <w:vAlign w:val="top"/>
          </w:tcPr>
          <w:p>
            <w:pPr>
              <w:spacing w:after="0"/>
            </w:pPr>
            <w:r/>
            <w:r>
              <w:rPr>
                <w:b w:val="0"/>
              </w:rPr>
              <w:t>AUD-FR-044</w:t>
            </w:r>
          </w:p>
        </w:tc>
        <w:tc>
          <w:tcPr>
            <w:tcW w:type="dxa" w:w="8496"/>
            <w:vAlign w:val="top"/>
          </w:tcPr>
          <w:p>
            <w:pPr>
              <w:spacing w:after="0"/>
            </w:pPr>
            <w:r/>
            <w:r>
              <w:rPr>
                <w:b w:val="0"/>
              </w:rPr>
              <w:t>The tool shall mark assumptions requiring validation as Open Points instead of placing them as confirmed content.</w:t>
            </w:r>
          </w:p>
        </w:tc>
      </w:tr>
      <w:tr>
        <w:trPr>
          <w:cantSplit/>
        </w:trPr>
        <w:tc>
          <w:tcPr>
            <w:tcW w:type="dxa" w:w="1656"/>
            <w:vAlign w:val="top"/>
          </w:tcPr>
          <w:p>
            <w:pPr>
              <w:spacing w:after="0"/>
            </w:pPr>
            <w:r/>
            <w:r>
              <w:rPr>
                <w:b w:val="0"/>
              </w:rPr>
              <w:t>AUD-FR-045</w:t>
            </w:r>
          </w:p>
        </w:tc>
        <w:tc>
          <w:tcPr>
            <w:tcW w:type="dxa" w:w="8496"/>
            <w:vAlign w:val="top"/>
          </w:tcPr>
          <w:p>
            <w:pPr>
              <w:spacing w:after="0"/>
            </w:pPr>
            <w:r/>
            <w:r>
              <w:rPr>
                <w:b w:val="0"/>
              </w:rPr>
              <w:t>The tool shall include FDD unresolved comments as Open Points if they affect AUD content.</w:t>
            </w:r>
          </w:p>
        </w:tc>
      </w:tr>
    </w:tbl>
    <w:p/>
    <w:p>
      <w:pPr>
        <w:pStyle w:val="Heading2"/>
      </w:pPr>
      <w:r>
        <w:t>I. Output and Review Requirements</w:t>
      </w:r>
    </w:p>
    <w:tbl>
      <w:tblPr>
        <w:tblStyle w:val="TableGrid"/>
        <w:tblW w:type="auto" w:w="0"/>
        <w:jc w:val="center"/>
        <w:tblLook w:firstColumn="1" w:firstRow="1" w:lastColumn="0" w:lastRow="0" w:noHBand="0" w:noVBand="1" w:val="04A0"/>
      </w:tblPr>
      <w:tblGrid>
        <w:gridCol w:w="5040"/>
        <w:gridCol w:w="5040"/>
      </w:tblGrid>
      <w:tr>
        <w:trPr>
          <w:cantSplit/>
        </w:trPr>
        <w:tc>
          <w:tcPr>
            <w:tcW w:type="dxa" w:w="1656"/>
            <w:shd w:fill="1F4E79"/>
            <w:vAlign w:val="top"/>
          </w:tcPr>
          <w:p>
            <w:pPr>
              <w:spacing w:after="0"/>
            </w:pPr>
            <w:r/>
            <w:r>
              <w:rPr>
                <w:b/>
                <w:color w:val="FFFFFF"/>
              </w:rPr>
              <w:t>Req. ID</w:t>
            </w:r>
          </w:p>
        </w:tc>
        <w:tc>
          <w:tcPr>
            <w:tcW w:type="dxa" w:w="8496"/>
            <w:shd w:fill="1F4E79"/>
            <w:vAlign w:val="top"/>
          </w:tcPr>
          <w:p>
            <w:pPr>
              <w:spacing w:after="0"/>
            </w:pPr>
            <w:r/>
            <w:r>
              <w:rPr>
                <w:b/>
                <w:color w:val="FFFFFF"/>
              </w:rPr>
              <w:t>Requirement</w:t>
            </w:r>
          </w:p>
        </w:tc>
      </w:tr>
      <w:tr>
        <w:trPr>
          <w:cantSplit/>
        </w:trPr>
        <w:tc>
          <w:tcPr>
            <w:tcW w:type="dxa" w:w="1656"/>
            <w:vAlign w:val="top"/>
          </w:tcPr>
          <w:p>
            <w:pPr>
              <w:spacing w:after="0"/>
            </w:pPr>
            <w:r/>
            <w:r>
              <w:rPr>
                <w:b w:val="0"/>
              </w:rPr>
              <w:t>AUD-FR-046</w:t>
            </w:r>
          </w:p>
        </w:tc>
        <w:tc>
          <w:tcPr>
            <w:tcW w:type="dxa" w:w="8496"/>
            <w:vAlign w:val="top"/>
          </w:tcPr>
          <w:p>
            <w:pPr>
              <w:spacing w:after="0"/>
            </w:pPr>
            <w:r/>
            <w:r>
              <w:rPr>
                <w:b w:val="0"/>
              </w:rPr>
              <w:t>The tool shall generate the AUD in editable Word format.</w:t>
            </w:r>
          </w:p>
        </w:tc>
      </w:tr>
      <w:tr>
        <w:trPr>
          <w:cantSplit/>
        </w:trPr>
        <w:tc>
          <w:tcPr>
            <w:tcW w:type="dxa" w:w="1656"/>
            <w:vAlign w:val="top"/>
          </w:tcPr>
          <w:p>
            <w:pPr>
              <w:spacing w:after="0"/>
            </w:pPr>
            <w:r/>
            <w:r>
              <w:rPr>
                <w:b w:val="0"/>
              </w:rPr>
              <w:t>AUD-FR-047</w:t>
            </w:r>
          </w:p>
        </w:tc>
        <w:tc>
          <w:tcPr>
            <w:tcW w:type="dxa" w:w="8496"/>
            <w:vAlign w:val="top"/>
          </w:tcPr>
          <w:p>
            <w:pPr>
              <w:spacing w:after="0"/>
            </w:pPr>
            <w:r/>
            <w:r>
              <w:rPr>
                <w:b w:val="0"/>
              </w:rPr>
              <w:t>The tool shall produce a document close to final-ready but still suitable for senior consultant review.</w:t>
            </w:r>
          </w:p>
        </w:tc>
      </w:tr>
      <w:tr>
        <w:trPr>
          <w:cantSplit/>
        </w:trPr>
        <w:tc>
          <w:tcPr>
            <w:tcW w:type="dxa" w:w="1656"/>
            <w:vAlign w:val="top"/>
          </w:tcPr>
          <w:p>
            <w:pPr>
              <w:spacing w:after="0"/>
            </w:pPr>
            <w:r/>
            <w:r>
              <w:rPr>
                <w:b w:val="0"/>
              </w:rPr>
              <w:t>AUD-FR-048</w:t>
            </w:r>
          </w:p>
        </w:tc>
        <w:tc>
          <w:tcPr>
            <w:tcW w:type="dxa" w:w="8496"/>
            <w:vAlign w:val="top"/>
          </w:tcPr>
          <w:p>
            <w:pPr>
              <w:spacing w:after="0"/>
            </w:pPr>
            <w:r/>
            <w:r>
              <w:rPr>
                <w:b w:val="0"/>
              </w:rPr>
              <w:t>The tool shall clearly separate confirmed content from unresolved items.</w:t>
            </w:r>
          </w:p>
        </w:tc>
      </w:tr>
      <w:tr>
        <w:trPr>
          <w:cantSplit/>
        </w:trPr>
        <w:tc>
          <w:tcPr>
            <w:tcW w:type="dxa" w:w="1656"/>
            <w:vAlign w:val="top"/>
          </w:tcPr>
          <w:p>
            <w:pPr>
              <w:spacing w:after="0"/>
            </w:pPr>
            <w:r/>
            <w:r>
              <w:rPr>
                <w:b w:val="0"/>
              </w:rPr>
              <w:t>AUD-FR-049</w:t>
            </w:r>
          </w:p>
        </w:tc>
        <w:tc>
          <w:tcPr>
            <w:tcW w:type="dxa" w:w="8496"/>
            <w:vAlign w:val="top"/>
          </w:tcPr>
          <w:p>
            <w:pPr>
              <w:spacing w:after="0"/>
            </w:pPr>
            <w:r/>
            <w:r>
              <w:rPr>
                <w:b w:val="0"/>
              </w:rPr>
              <w:t>The tool shall support omission, placeholder, or Open Point handling for missing information depending on context.</w:t>
            </w:r>
          </w:p>
        </w:tc>
      </w:tr>
      <w:tr>
        <w:trPr>
          <w:cantSplit/>
        </w:trPr>
        <w:tc>
          <w:tcPr>
            <w:tcW w:type="dxa" w:w="1656"/>
            <w:vAlign w:val="top"/>
          </w:tcPr>
          <w:p>
            <w:pPr>
              <w:spacing w:after="0"/>
            </w:pPr>
            <w:r/>
            <w:r>
              <w:rPr>
                <w:b w:val="0"/>
              </w:rPr>
              <w:t>AUD-FR-050</w:t>
            </w:r>
          </w:p>
        </w:tc>
        <w:tc>
          <w:tcPr>
            <w:tcW w:type="dxa" w:w="8496"/>
            <w:vAlign w:val="top"/>
          </w:tcPr>
          <w:p>
            <w:pPr>
              <w:spacing w:after="0"/>
            </w:pPr>
            <w:r/>
            <w:r>
              <w:rPr>
                <w:b w:val="0"/>
              </w:rPr>
              <w:t>The tool shall avoid adding detailed source traceability to every section.</w:t>
            </w:r>
          </w:p>
        </w:tc>
      </w:tr>
    </w:tbl>
    <w:p/>
    <w:p>
      <w:pPr>
        <w:pStyle w:val="Heading1"/>
      </w:pPr>
      <w:r>
        <w:t>13. Non-Functional Business Expectations</w:t>
      </w:r>
    </w:p>
    <w:tbl>
      <w:tblPr>
        <w:tblStyle w:val="TableGrid"/>
        <w:tblW w:type="auto" w:w="0"/>
        <w:jc w:val="center"/>
        <w:tblLook w:firstColumn="1" w:firstRow="1" w:lastColumn="0" w:lastRow="0" w:noHBand="0" w:noVBand="1" w:val="04A0"/>
      </w:tblPr>
      <w:tblGrid>
        <w:gridCol w:w="5040"/>
        <w:gridCol w:w="5040"/>
      </w:tblGrid>
      <w:tr>
        <w:trPr>
          <w:cantSplit/>
        </w:trPr>
        <w:tc>
          <w:tcPr>
            <w:tcW w:type="dxa" w:w="2592"/>
            <w:shd w:fill="1F4E79"/>
            <w:vAlign w:val="top"/>
          </w:tcPr>
          <w:p>
            <w:pPr>
              <w:spacing w:after="0"/>
            </w:pPr>
            <w:r/>
            <w:r>
              <w:rPr>
                <w:b/>
                <w:color w:val="FFFFFF"/>
              </w:rPr>
              <w:t>Expectation</w:t>
            </w:r>
          </w:p>
        </w:tc>
        <w:tc>
          <w:tcPr>
            <w:tcW w:type="dxa" w:w="7344"/>
            <w:shd w:fill="1F4E79"/>
            <w:vAlign w:val="top"/>
          </w:tcPr>
          <w:p>
            <w:pPr>
              <w:spacing w:after="0"/>
            </w:pPr>
            <w:r/>
            <w:r>
              <w:rPr>
                <w:b/>
                <w:color w:val="FFFFFF"/>
              </w:rPr>
              <w:t>Description</w:t>
            </w:r>
          </w:p>
        </w:tc>
      </w:tr>
      <w:tr>
        <w:trPr>
          <w:cantSplit/>
        </w:trPr>
        <w:tc>
          <w:tcPr>
            <w:tcW w:type="dxa" w:w="2592"/>
            <w:vAlign w:val="top"/>
          </w:tcPr>
          <w:p>
            <w:pPr>
              <w:spacing w:after="0"/>
            </w:pPr>
            <w:r/>
            <w:r>
              <w:rPr>
                <w:b w:val="0"/>
              </w:rPr>
              <w:t>Accuracy</w:t>
            </w:r>
          </w:p>
        </w:tc>
        <w:tc>
          <w:tcPr>
            <w:tcW w:type="dxa" w:w="7344"/>
            <w:vAlign w:val="top"/>
          </w:tcPr>
          <w:p>
            <w:pPr>
              <w:spacing w:after="0"/>
            </w:pPr>
            <w:r/>
            <w:r>
              <w:rPr>
                <w:b w:val="0"/>
              </w:rPr>
              <w:t>The generated AUD must accurately represent source material and avoid unsupported assumptions.</w:t>
            </w:r>
          </w:p>
        </w:tc>
      </w:tr>
      <w:tr>
        <w:trPr>
          <w:cantSplit/>
        </w:trPr>
        <w:tc>
          <w:tcPr>
            <w:tcW w:type="dxa" w:w="2592"/>
            <w:vAlign w:val="top"/>
          </w:tcPr>
          <w:p>
            <w:pPr>
              <w:spacing w:after="0"/>
            </w:pPr>
            <w:r/>
            <w:r>
              <w:rPr>
                <w:b w:val="0"/>
              </w:rPr>
              <w:t>Consistency</w:t>
            </w:r>
          </w:p>
        </w:tc>
        <w:tc>
          <w:tcPr>
            <w:tcW w:type="dxa" w:w="7344"/>
            <w:vAlign w:val="top"/>
          </w:tcPr>
          <w:p>
            <w:pPr>
              <w:spacing w:after="0"/>
            </w:pPr>
            <w:r/>
            <w:r>
              <w:rPr>
                <w:b w:val="0"/>
              </w:rPr>
              <w:t>The AUD should follow the selected template and maintain consistent document style.</w:t>
            </w:r>
          </w:p>
        </w:tc>
      </w:tr>
      <w:tr>
        <w:trPr>
          <w:cantSplit/>
        </w:trPr>
        <w:tc>
          <w:tcPr>
            <w:tcW w:type="dxa" w:w="2592"/>
            <w:vAlign w:val="top"/>
          </w:tcPr>
          <w:p>
            <w:pPr>
              <w:spacing w:after="0"/>
            </w:pPr>
            <w:r/>
            <w:r>
              <w:rPr>
                <w:b w:val="0"/>
              </w:rPr>
              <w:t>Flexibility</w:t>
            </w:r>
          </w:p>
        </w:tc>
        <w:tc>
          <w:tcPr>
            <w:tcW w:type="dxa" w:w="7344"/>
            <w:vAlign w:val="top"/>
          </w:tcPr>
          <w:p>
            <w:pPr>
              <w:spacing w:after="0"/>
            </w:pPr>
            <w:r/>
            <w:r>
              <w:rPr>
                <w:b w:val="0"/>
              </w:rPr>
              <w:t>The tool should support different input combinations and different AUD styles across modules/projects.</w:t>
            </w:r>
          </w:p>
        </w:tc>
      </w:tr>
      <w:tr>
        <w:trPr>
          <w:cantSplit/>
        </w:trPr>
        <w:tc>
          <w:tcPr>
            <w:tcW w:type="dxa" w:w="2592"/>
            <w:vAlign w:val="top"/>
          </w:tcPr>
          <w:p>
            <w:pPr>
              <w:spacing w:after="0"/>
            </w:pPr>
            <w:r/>
            <w:r>
              <w:rPr>
                <w:b w:val="0"/>
              </w:rPr>
              <w:t>Editability</w:t>
            </w:r>
          </w:p>
        </w:tc>
        <w:tc>
          <w:tcPr>
            <w:tcW w:type="dxa" w:w="7344"/>
            <w:vAlign w:val="top"/>
          </w:tcPr>
          <w:p>
            <w:pPr>
              <w:spacing w:after="0"/>
            </w:pPr>
            <w:r/>
            <w:r>
              <w:rPr>
                <w:b w:val="0"/>
              </w:rPr>
              <w:t>Output must be editable in Microsoft Word.</w:t>
            </w:r>
          </w:p>
        </w:tc>
      </w:tr>
      <w:tr>
        <w:trPr>
          <w:cantSplit/>
        </w:trPr>
        <w:tc>
          <w:tcPr>
            <w:tcW w:type="dxa" w:w="2592"/>
            <w:vAlign w:val="top"/>
          </w:tcPr>
          <w:p>
            <w:pPr>
              <w:spacing w:after="0"/>
            </w:pPr>
            <w:r/>
            <w:r>
              <w:rPr>
                <w:b w:val="0"/>
              </w:rPr>
              <w:t>Reviewability</w:t>
            </w:r>
          </w:p>
        </w:tc>
        <w:tc>
          <w:tcPr>
            <w:tcW w:type="dxa" w:w="7344"/>
            <w:vAlign w:val="top"/>
          </w:tcPr>
          <w:p>
            <w:pPr>
              <w:spacing w:after="0"/>
            </w:pPr>
            <w:r/>
            <w:r>
              <w:rPr>
                <w:b w:val="0"/>
              </w:rPr>
              <w:t>Open Points and placeholders should make reviewer action clear.</w:t>
            </w:r>
          </w:p>
        </w:tc>
      </w:tr>
      <w:tr>
        <w:trPr>
          <w:cantSplit/>
        </w:trPr>
        <w:tc>
          <w:tcPr>
            <w:tcW w:type="dxa" w:w="2592"/>
            <w:vAlign w:val="top"/>
          </w:tcPr>
          <w:p>
            <w:pPr>
              <w:spacing w:after="0"/>
            </w:pPr>
            <w:r/>
            <w:r>
              <w:rPr>
                <w:b w:val="0"/>
              </w:rPr>
              <w:t>Trace restraint</w:t>
            </w:r>
          </w:p>
        </w:tc>
        <w:tc>
          <w:tcPr>
            <w:tcW w:type="dxa" w:w="7344"/>
            <w:vAlign w:val="top"/>
          </w:tcPr>
          <w:p>
            <w:pPr>
              <w:spacing w:after="0"/>
            </w:pPr>
            <w:r/>
            <w:r>
              <w:rPr>
                <w:b w:val="0"/>
              </w:rPr>
              <w:t>The document should not become cluttered with per-section source citations or timestamps.</w:t>
            </w:r>
          </w:p>
        </w:tc>
      </w:tr>
      <w:tr>
        <w:trPr>
          <w:cantSplit/>
        </w:trPr>
        <w:tc>
          <w:tcPr>
            <w:tcW w:type="dxa" w:w="2592"/>
            <w:vAlign w:val="top"/>
          </w:tcPr>
          <w:p>
            <w:pPr>
              <w:spacing w:after="0"/>
            </w:pPr>
            <w:r/>
            <w:r>
              <w:rPr>
                <w:b w:val="0"/>
              </w:rPr>
              <w:t>Business readability</w:t>
            </w:r>
          </w:p>
        </w:tc>
        <w:tc>
          <w:tcPr>
            <w:tcW w:type="dxa" w:w="7344"/>
            <w:vAlign w:val="top"/>
          </w:tcPr>
          <w:p>
            <w:pPr>
              <w:spacing w:after="0"/>
            </w:pPr>
            <w:r/>
            <w:r>
              <w:rPr>
                <w:b w:val="0"/>
              </w:rPr>
              <w:t>Technical setup details should be translated into functional/business language where appropriate.</w:t>
            </w:r>
          </w:p>
        </w:tc>
      </w:tr>
    </w:tbl>
    <w:p/>
    <w:p>
      <w:pPr>
        <w:pStyle w:val="Heading1"/>
      </w:pPr>
      <w:r>
        <w:t>14. Acceptance Criteria</w:t>
      </w:r>
    </w:p>
    <w:p>
      <w:pPr>
        <w:pStyle w:val="ListBullet"/>
      </w:pPr>
      <w:r>
        <w:t>Given an explicit template, the generated AUD follows that template’s structure and formatting as the primary layout source.</w:t>
      </w:r>
    </w:p>
    <w:p>
      <w:pPr>
        <w:pStyle w:val="ListBullet"/>
      </w:pPr>
      <w:r>
        <w:t>Given no explicit template, the generated AUD uses the default SCM AUD template.</w:t>
      </w:r>
    </w:p>
    <w:p>
      <w:pPr>
        <w:pStyle w:val="ListBullet"/>
      </w:pPr>
      <w:r>
        <w:t>Given an FDD, the AUD uses FDD content as the golden source for the covered process area.</w:t>
      </w:r>
    </w:p>
    <w:p>
      <w:pPr>
        <w:pStyle w:val="ListBullet"/>
      </w:pPr>
      <w:r>
        <w:t>Given contradictions between FDD and other inputs, the AUD follows the FDD.</w:t>
      </w:r>
    </w:p>
    <w:p>
      <w:pPr>
        <w:pStyle w:val="ListBullet"/>
      </w:pPr>
      <w:r>
        <w:t>Given missing or unsupported content, the AUD does not invent details.</w:t>
      </w:r>
    </w:p>
    <w:p>
      <w:pPr>
        <w:pStyle w:val="ListBullet"/>
      </w:pPr>
      <w:r>
        <w:t>Given relevant PPT images, the AUD places them in context under appropriate sections.</w:t>
      </w:r>
    </w:p>
    <w:p>
      <w:pPr>
        <w:pStyle w:val="ListBullet"/>
      </w:pPr>
      <w:r>
        <w:t>Given an important video-discussed screenshot that is not available, the AUD adds a timestamp/manual-action item to Open Points.</w:t>
      </w:r>
    </w:p>
    <w:p>
      <w:pPr>
        <w:pStyle w:val="ListBullet"/>
      </w:pPr>
      <w:r>
        <w:t>Given workbook configuration data, the AUD includes only relevant, source-supported configuration details.</w:t>
      </w:r>
    </w:p>
    <w:p>
      <w:pPr>
        <w:pStyle w:val="ListBullet"/>
      </w:pPr>
      <w:r>
        <w:t>Given unresolved comments or pending items, the AUD lists them in Open Points and does not present them as confirmed facts.</w:t>
      </w:r>
    </w:p>
    <w:p>
      <w:pPr>
        <w:pStyle w:val="ListBullet"/>
      </w:pPr>
      <w:r>
        <w:t>The final output is an editable Word document suitable for senior consultant review.</w:t>
      </w:r>
    </w:p>
    <w:p>
      <w:pPr>
        <w:pStyle w:val="Heading1"/>
      </w:pPr>
      <w:r>
        <w:t>15. Open Requirement Questions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080"/>
            <w:shd w:fill="1F4E79"/>
            <w:vAlign w:val="top"/>
          </w:tcPr>
          <w:p>
            <w:pPr>
              <w:spacing w:after="0"/>
            </w:pPr>
            <w:r/>
            <w:r>
              <w:rPr>
                <w:b/>
                <w:color w:val="FFFFFF"/>
              </w:rPr>
              <w:t>ID</w:t>
            </w:r>
          </w:p>
        </w:tc>
        <w:tc>
          <w:tcPr>
            <w:tcW w:type="dxa" w:w="5904"/>
            <w:shd w:fill="1F4E79"/>
            <w:vAlign w:val="top"/>
          </w:tcPr>
          <w:p>
            <w:pPr>
              <w:spacing w:after="0"/>
            </w:pPr>
            <w:r/>
            <w:r>
              <w:rPr>
                <w:b/>
                <w:color w:val="FFFFFF"/>
              </w:rPr>
              <w:t>Question</w:t>
            </w:r>
          </w:p>
        </w:tc>
        <w:tc>
          <w:tcPr>
            <w:tcW w:type="dxa" w:w="3024"/>
            <w:shd w:fill="1F4E79"/>
            <w:vAlign w:val="top"/>
          </w:tcPr>
          <w:p>
            <w:pPr>
              <w:spacing w:after="0"/>
            </w:pPr>
            <w:r/>
            <w:r>
              <w:rPr>
                <w:b/>
                <w:color w:val="FFFFFF"/>
              </w:rPr>
              <w:t>Current Handling</w:t>
            </w:r>
          </w:p>
        </w:tc>
      </w:tr>
      <w:tr>
        <w:trPr>
          <w:cantSplit/>
        </w:trPr>
        <w:tc>
          <w:tcPr>
            <w:tcW w:type="dxa" w:w="1080"/>
            <w:vAlign w:val="top"/>
          </w:tcPr>
          <w:p>
            <w:pPr>
              <w:spacing w:after="0"/>
            </w:pPr>
            <w:r/>
            <w:r>
              <w:rPr>
                <w:b w:val="0"/>
              </w:rPr>
              <w:t>RQ-001</w:t>
            </w:r>
          </w:p>
        </w:tc>
        <w:tc>
          <w:tcPr>
            <w:tcW w:type="dxa" w:w="5904"/>
            <w:vAlign w:val="top"/>
          </w:tcPr>
          <w:p>
            <w:pPr>
              <w:spacing w:after="0"/>
            </w:pPr>
            <w:r/>
            <w:r>
              <w:rPr>
                <w:b w:val="0"/>
              </w:rPr>
              <w:t>Should the generated AUD preserve empty template sections if an uploaded template contains them?</w:t>
            </w:r>
          </w:p>
        </w:tc>
        <w:tc>
          <w:tcPr>
            <w:tcW w:type="dxa" w:w="3024"/>
            <w:vAlign w:val="top"/>
          </w:tcPr>
          <w:p>
            <w:pPr>
              <w:spacing w:after="0"/>
            </w:pPr>
            <w:r/>
            <w:r>
              <w:rPr>
                <w:b w:val="0"/>
              </w:rPr>
              <w:t>Current recommendation: omit empty/low-value sections unless template or user explicitly requires preservation.</w:t>
            </w:r>
          </w:p>
        </w:tc>
      </w:tr>
      <w:tr>
        <w:trPr>
          <w:cantSplit/>
        </w:trPr>
        <w:tc>
          <w:tcPr>
            <w:tcW w:type="dxa" w:w="1080"/>
            <w:vAlign w:val="top"/>
          </w:tcPr>
          <w:p>
            <w:pPr>
              <w:spacing w:after="0"/>
            </w:pPr>
            <w:r/>
            <w:r>
              <w:rPr>
                <w:b w:val="0"/>
              </w:rPr>
              <w:t>RQ-002</w:t>
            </w:r>
          </w:p>
        </w:tc>
        <w:tc>
          <w:tcPr>
            <w:tcW w:type="dxa" w:w="5904"/>
            <w:vAlign w:val="top"/>
          </w:tcPr>
          <w:p>
            <w:pPr>
              <w:spacing w:after="0"/>
            </w:pPr>
            <w:r/>
            <w:r>
              <w:rPr>
                <w:b w:val="0"/>
              </w:rPr>
              <w:t>Should image captions always be generated?</w:t>
            </w:r>
          </w:p>
        </w:tc>
        <w:tc>
          <w:tcPr>
            <w:tcW w:type="dxa" w:w="3024"/>
            <w:vAlign w:val="top"/>
          </w:tcPr>
          <w:p>
            <w:pPr>
              <w:spacing w:after="0"/>
            </w:pPr>
            <w:r/>
            <w:r>
              <w:rPr>
                <w:b w:val="0"/>
              </w:rPr>
              <w:t>Current recommendation: use captions only when the template or document style supports them.</w:t>
            </w:r>
          </w:p>
        </w:tc>
      </w:tr>
      <w:tr>
        <w:trPr>
          <w:cantSplit/>
        </w:trPr>
        <w:tc>
          <w:tcPr>
            <w:tcW w:type="dxa" w:w="1080"/>
            <w:vAlign w:val="top"/>
          </w:tcPr>
          <w:p>
            <w:pPr>
              <w:spacing w:after="0"/>
            </w:pPr>
            <w:r/>
            <w:r>
              <w:rPr>
                <w:b w:val="0"/>
              </w:rPr>
              <w:t>RQ-003</w:t>
            </w:r>
          </w:p>
        </w:tc>
        <w:tc>
          <w:tcPr>
            <w:tcW w:type="dxa" w:w="5904"/>
            <w:vAlign w:val="top"/>
          </w:tcPr>
          <w:p>
            <w:pPr>
              <w:spacing w:after="0"/>
            </w:pPr>
            <w:r/>
            <w:r>
              <w:rPr>
                <w:b w:val="0"/>
              </w:rPr>
              <w:t>Should the tool support multiple output variants such as detailed draft and executive summary?</w:t>
            </w:r>
          </w:p>
        </w:tc>
        <w:tc>
          <w:tcPr>
            <w:tcW w:type="dxa" w:w="3024"/>
            <w:vAlign w:val="top"/>
          </w:tcPr>
          <w:p>
            <w:pPr>
              <w:spacing w:after="0"/>
            </w:pPr>
            <w:r/>
            <w:r>
              <w:rPr>
                <w:b w:val="0"/>
              </w:rPr>
              <w:t>Not required for current scope.</w:t>
            </w:r>
          </w:p>
        </w:tc>
      </w:tr>
      <w:tr>
        <w:trPr>
          <w:cantSplit/>
        </w:trPr>
        <w:tc>
          <w:tcPr>
            <w:tcW w:type="dxa" w:w="1080"/>
            <w:vAlign w:val="top"/>
          </w:tcPr>
          <w:p>
            <w:pPr>
              <w:spacing w:after="0"/>
            </w:pPr>
            <w:r/>
            <w:r>
              <w:rPr>
                <w:b w:val="0"/>
              </w:rPr>
              <w:t>RQ-004</w:t>
            </w:r>
          </w:p>
        </w:tc>
        <w:tc>
          <w:tcPr>
            <w:tcW w:type="dxa" w:w="5904"/>
            <w:vAlign w:val="top"/>
          </w:tcPr>
          <w:p>
            <w:pPr>
              <w:spacing w:after="0"/>
            </w:pPr>
            <w:r/>
            <w:r>
              <w:rPr>
                <w:b w:val="0"/>
              </w:rPr>
              <w:t>Should unresolved FDD comments be copied verbatim or rewritten?</w:t>
            </w:r>
          </w:p>
        </w:tc>
        <w:tc>
          <w:tcPr>
            <w:tcW w:type="dxa" w:w="3024"/>
            <w:vAlign w:val="top"/>
          </w:tcPr>
          <w:p>
            <w:pPr>
              <w:spacing w:after="0"/>
            </w:pPr>
            <w:r/>
            <w:r>
              <w:rPr>
                <w:b w:val="0"/>
              </w:rPr>
              <w:t>Current recommendation: rewrite as concise Open Points, preserving meaning.</w:t>
            </w:r>
          </w:p>
        </w:tc>
      </w:tr>
      <w:tr>
        <w:trPr>
          <w:cantSplit/>
        </w:trPr>
        <w:tc>
          <w:tcPr>
            <w:tcW w:type="dxa" w:w="1080"/>
            <w:vAlign w:val="top"/>
          </w:tcPr>
          <w:p>
            <w:pPr>
              <w:spacing w:after="0"/>
            </w:pPr>
            <w:r/>
            <w:r>
              <w:rPr>
                <w:b w:val="0"/>
              </w:rPr>
              <w:t>RQ-005</w:t>
            </w:r>
          </w:p>
        </w:tc>
        <w:tc>
          <w:tcPr>
            <w:tcW w:type="dxa" w:w="5904"/>
            <w:vAlign w:val="top"/>
          </w:tcPr>
          <w:p>
            <w:pPr>
              <w:spacing w:after="0"/>
            </w:pPr>
            <w:r/>
            <w:r>
              <w:rPr>
                <w:b w:val="0"/>
              </w:rPr>
              <w:t>Should generated process diagrams have a standard visual style?</w:t>
            </w:r>
          </w:p>
        </w:tc>
        <w:tc>
          <w:tcPr>
            <w:tcW w:type="dxa" w:w="3024"/>
            <w:vAlign w:val="top"/>
          </w:tcPr>
          <w:p>
            <w:pPr>
              <w:spacing w:after="0"/>
            </w:pPr>
            <w:r/>
            <w:r>
              <w:rPr>
                <w:b w:val="0"/>
              </w:rPr>
              <w:t>Not required for first version.</w:t>
            </w:r>
          </w:p>
        </w:tc>
      </w:tr>
    </w:tbl>
    <w:p/>
    <w:p>
      <w:pPr>
        <w:pStyle w:val="Heading1"/>
      </w:pPr>
      <w:r>
        <w:t>16. Reference Samples Reviewed</w:t>
      </w:r>
    </w:p>
    <w:tbl>
      <w:tblPr>
        <w:tblStyle w:val="TableGrid"/>
        <w:tblW w:type="auto" w:w="0"/>
        <w:jc w:val="center"/>
        <w:tblLook w:firstColumn="1" w:firstRow="1" w:lastColumn="0" w:lastRow="0" w:noHBand="0" w:noVBand="1" w:val="04A0"/>
      </w:tblPr>
      <w:tblGrid>
        <w:gridCol w:w="5040"/>
        <w:gridCol w:w="5040"/>
      </w:tblGrid>
      <w:tr>
        <w:trPr>
          <w:cantSplit/>
        </w:trPr>
        <w:tc>
          <w:tcPr>
            <w:tcW w:type="dxa" w:w="3384"/>
            <w:shd w:fill="1F4E79"/>
            <w:vAlign w:val="top"/>
          </w:tcPr>
          <w:p>
            <w:pPr>
              <w:spacing w:after="0"/>
            </w:pPr>
            <w:r/>
            <w:r>
              <w:rPr>
                <w:b/>
                <w:color w:val="FFFFFF"/>
              </w:rPr>
              <w:t>Reference Material</w:t>
            </w:r>
          </w:p>
        </w:tc>
        <w:tc>
          <w:tcPr>
            <w:tcW w:type="dxa" w:w="6552"/>
            <w:shd w:fill="1F4E79"/>
            <w:vAlign w:val="top"/>
          </w:tcPr>
          <w:p>
            <w:pPr>
              <w:spacing w:after="0"/>
            </w:pPr>
            <w:r/>
            <w:r>
              <w:rPr>
                <w:b/>
                <w:color w:val="FFFFFF"/>
              </w:rPr>
              <w:t>Observed Learning</w:t>
            </w:r>
          </w:p>
        </w:tc>
      </w:tr>
      <w:tr>
        <w:trPr>
          <w:cantSplit/>
        </w:trPr>
        <w:tc>
          <w:tcPr>
            <w:tcW w:type="dxa" w:w="3384"/>
            <w:vAlign w:val="top"/>
          </w:tcPr>
          <w:p>
            <w:pPr>
              <w:spacing w:after="0"/>
            </w:pPr>
            <w:r/>
            <w:r>
              <w:rPr>
                <w:b w:val="0"/>
              </w:rPr>
              <w:t>Default SCM AUD Template</w:t>
            </w:r>
          </w:p>
        </w:tc>
        <w:tc>
          <w:tcPr>
            <w:tcW w:type="dxa" w:w="6552"/>
            <w:vAlign w:val="top"/>
          </w:tcPr>
          <w:p>
            <w:pPr>
              <w:spacing w:after="0"/>
            </w:pPr>
            <w:r/>
            <w:r>
              <w:rPr>
                <w:b w:val="0"/>
              </w:rPr>
              <w:t>Established fallback structure, cover page, CSS branding, TOC/index, process sections, activity-table pattern, Reporting/RICEW, and Open Points style.</w:t>
            </w:r>
          </w:p>
        </w:tc>
      </w:tr>
      <w:tr>
        <w:trPr>
          <w:cantSplit/>
        </w:trPr>
        <w:tc>
          <w:tcPr>
            <w:tcW w:type="dxa" w:w="3384"/>
            <w:vAlign w:val="top"/>
          </w:tcPr>
          <w:p>
            <w:pPr>
              <w:spacing w:after="0"/>
            </w:pPr>
            <w:r/>
            <w:r>
              <w:rPr>
                <w:b w:val="0"/>
              </w:rPr>
              <w:t>JM Huber Order Management PPT + Transcript + Config Workbook + Final AUD</w:t>
            </w:r>
          </w:p>
        </w:tc>
        <w:tc>
          <w:tcPr>
            <w:tcW w:type="dxa" w:w="6552"/>
            <w:vAlign w:val="top"/>
          </w:tcPr>
          <w:p>
            <w:pPr>
              <w:spacing w:after="0"/>
            </w:pPr>
            <w:r/>
            <w:r>
              <w:rPr>
                <w:b w:val="0"/>
              </w:rPr>
              <w:t>Showed how PPT provides section topics, transcript adds business rationale and Q&amp;A, config workbook provides exact setup values, and final AUD polishes the content.</w:t>
            </w:r>
          </w:p>
        </w:tc>
      </w:tr>
      <w:tr>
        <w:trPr>
          <w:cantSplit/>
        </w:trPr>
        <w:tc>
          <w:tcPr>
            <w:tcW w:type="dxa" w:w="3384"/>
            <w:vAlign w:val="top"/>
          </w:tcPr>
          <w:p>
            <w:pPr>
              <w:spacing w:after="0"/>
            </w:pPr>
            <w:r/>
            <w:r>
              <w:rPr>
                <w:b w:val="0"/>
              </w:rPr>
              <w:t>Enfinitec PPT + Sales &amp; Business AUD</w:t>
            </w:r>
          </w:p>
        </w:tc>
        <w:tc>
          <w:tcPr>
            <w:tcW w:type="dxa" w:w="6552"/>
            <w:vAlign w:val="top"/>
          </w:tcPr>
          <w:p>
            <w:pPr>
              <w:spacing w:after="0"/>
            </w:pPr>
            <w:r/>
            <w:r>
              <w:rPr>
                <w:b w:val="0"/>
              </w:rPr>
              <w:t>Showed that non-SCM or differently structured AUDs may use a different template and more narrative business-process style.</w:t>
            </w:r>
          </w:p>
        </w:tc>
      </w:tr>
      <w:tr>
        <w:trPr>
          <w:cantSplit/>
        </w:trPr>
        <w:tc>
          <w:tcPr>
            <w:tcW w:type="dxa" w:w="3384"/>
            <w:vAlign w:val="top"/>
          </w:tcPr>
          <w:p>
            <w:pPr>
              <w:spacing w:after="0"/>
            </w:pPr>
            <w:r/>
            <w:r>
              <w:rPr>
                <w:b w:val="0"/>
              </w:rPr>
              <w:t>Inventory Management AUD sample</w:t>
            </w:r>
          </w:p>
        </w:tc>
        <w:tc>
          <w:tcPr>
            <w:tcW w:type="dxa" w:w="6552"/>
            <w:vAlign w:val="top"/>
          </w:tcPr>
          <w:p>
            <w:pPr>
              <w:spacing w:after="0"/>
            </w:pPr>
            <w:r/>
            <w:r>
              <w:rPr>
                <w:b w:val="0"/>
              </w:rPr>
              <w:t>Showed that an AUD can be generated from KT/video/config sources even when no PPT is available.</w:t>
            </w:r>
          </w:p>
        </w:tc>
      </w:tr>
      <w:tr>
        <w:trPr>
          <w:cantSplit/>
        </w:trPr>
        <w:tc>
          <w:tcPr>
            <w:tcW w:type="dxa" w:w="3384"/>
            <w:vAlign w:val="top"/>
          </w:tcPr>
          <w:p>
            <w:pPr>
              <w:spacing w:after="0"/>
            </w:pPr>
            <w:r/>
            <w:r>
              <w:rPr>
                <w:b w:val="0"/>
              </w:rPr>
              <w:t>SharkNinja FDD + Config Workbook + Output AUD</w:t>
            </w:r>
          </w:p>
        </w:tc>
        <w:tc>
          <w:tcPr>
            <w:tcW w:type="dxa" w:w="6552"/>
            <w:vAlign w:val="top"/>
          </w:tcPr>
          <w:p>
            <w:pPr>
              <w:spacing w:after="0"/>
            </w:pPr>
            <w:r/>
            <w:r>
              <w:rPr>
                <w:b w:val="0"/>
              </w:rPr>
              <w:t>Showed that an FDD can become the authoritative source for a specific process area and may supersede older/broader AUD wording.</w:t>
            </w:r>
          </w:p>
        </w:tc>
      </w:tr>
    </w:tbl>
    <w:p/>
    <w:p>
      <w:r>
        <w:t>End of document.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AUD Generator BRS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