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left"/>
      </w:pPr>
      <w:r>
        <w:drawing>
          <wp:inline xmlns:a="http://schemas.openxmlformats.org/drawingml/2006/main" xmlns:pic="http://schemas.openxmlformats.org/drawingml/2006/picture">
            <wp:extent cx="749808" cy="1156619"/>
            <wp:docPr id="1" name="Picture 1" descr="MobiusEMS logo"/>
            <wp:cNvGraphicFramePr>
              <a:graphicFrameLocks noChangeAspect="1"/>
            </wp:cNvGraphicFramePr>
            <a:graphic>
              <a:graphicData uri="http://schemas.openxmlformats.org/drawingml/2006/picture">
                <pic:pic>
                  <pic:nvPicPr>
                    <pic:cNvPr id="0" name="mobius-mark.png"/>
                    <pic:cNvPicPr/>
                  </pic:nvPicPr>
                  <pic:blipFill>
                    <a:blip r:embed="rId10"/>
                    <a:stretch>
                      <a:fillRect/>
                    </a:stretch>
                  </pic:blipFill>
                  <pic:spPr>
                    <a:xfrm>
                      <a:off x="0" y="0"/>
                      <a:ext cx="749808" cy="1156619"/>
                    </a:xfrm>
                    <a:prstGeom prst="rect"/>
                  </pic:spPr>
                </pic:pic>
              </a:graphicData>
            </a:graphic>
          </wp:inline>
        </w:drawing>
      </w:r>
    </w:p>
    <w:p>
      <w:pPr>
        <w:keepNext/>
        <w:spacing w:before="0" w:after="160"/>
      </w:pPr>
      <w:r>
        <w:rPr>
          <w:rFonts w:ascii="Aptos" w:hAnsi="Aptos"/>
          <w:b/>
          <w:color w:val="126DD8"/>
          <w:sz w:val="18"/>
        </w:rPr>
        <w:t>PRODUCT FEATURE DOCUMENTATION</w:t>
      </w:r>
    </w:p>
    <w:p>
      <w:pPr>
        <w:pStyle w:val="Title"/>
        <w:jc w:val="left"/>
      </w:pPr>
      <w:r>
        <w:t>MobiusEMS Feature Overview</w:t>
      </w:r>
    </w:p>
    <w:p>
      <w:pPr>
        <w:spacing w:after="480"/>
      </w:pPr>
      <w:r>
        <w:rPr>
          <w:rFonts w:ascii="Aptos" w:hAnsi="Aptos"/>
          <w:color w:val="5A6573"/>
          <w:sz w:val="30"/>
        </w:rPr>
        <w:t>A connected platform for people, work, performance, and commercial operations</w:t>
      </w:r>
    </w:p>
    <w:p>
      <w:pPr>
        <w:spacing w:after="340" w:line="298" w:lineRule="auto"/>
      </w:pPr>
      <w:r>
        <w:rPr>
          <w:rFonts w:ascii="Aptos" w:hAnsi="Aptos"/>
          <w:color w:val="27313C"/>
          <w:sz w:val="24"/>
        </w:rPr>
        <w:t>MobiusEMS brings employee records, daily delivery, capability development, performance evidence, recruitment, and sales operations into one role-aware workspace. It gives employees a clear place to manage their work and development, while managers gain the context needed to support teams and make informed decisions.</w:t>
      </w:r>
    </w:p>
    <w:p>
      <w:pPr>
        <w:keepLines/>
        <w:widowControl/>
        <w:spacing w:after="160"/>
      </w:pPr>
      <w:r>
        <w:rPr>
          <w:rFonts w:ascii="Aptos" w:hAnsi="Aptos"/>
          <w:color w:val="27313C"/>
        </w:rPr>
        <w:t>The platform is designed for organizations that want one current source of workforce information without relying on intrusive activity monitoring. Access is controlled by role and permission, sensitive actions are recorded, and AI remains an advisory layer that people review before acting.</w:t>
      </w:r>
    </w:p>
    <w:p>
      <w:pPr>
        <w:spacing w:before="560" w:after="0"/>
      </w:pPr>
      <w:r>
        <w:rPr>
          <w:rFonts w:ascii="Aptos" w:hAnsi="Aptos"/>
          <w:b/>
          <w:color w:val="126DD8"/>
          <w:sz w:val="20"/>
        </w:rPr>
        <w:t>Prepared for prospective clients</w:t>
      </w:r>
    </w:p>
    <w:p>
      <w:pPr>
        <w:spacing w:after="0"/>
      </w:pPr>
      <w:r>
        <w:rPr>
          <w:rFonts w:ascii="Aptos" w:hAnsi="Aptos"/>
          <w:color w:val="5A6573"/>
          <w:sz w:val="20"/>
        </w:rPr>
        <w:t>Mobius Bloom Venture Pvt Ltd</w:t>
      </w:r>
    </w:p>
    <w:p>
      <w:r>
        <w:br w:type="page"/>
      </w:r>
    </w:p>
    <w:p>
      <w:pPr>
        <w:keepNext/>
        <w:spacing w:before="0" w:after="160"/>
      </w:pPr>
      <w:r>
        <w:rPr>
          <w:rFonts w:ascii="Aptos" w:hAnsi="Aptos"/>
          <w:b/>
          <w:color w:val="126DD8"/>
          <w:sz w:val="18"/>
        </w:rPr>
        <w:t>PLATFORM OVERVIEW</w:t>
      </w:r>
    </w:p>
    <w:p>
      <w:pPr>
        <w:pStyle w:val="Heading1"/>
        <w:keepNext/>
      </w:pPr>
      <w:r>
        <w:t>Capabilities at a glance</w:t>
      </w:r>
    </w:p>
    <w:p>
      <w:pPr>
        <w:keepLines/>
        <w:widowControl/>
        <w:spacing w:after="160"/>
      </w:pPr>
      <w:r>
        <w:rPr>
          <w:rFonts w:ascii="Aptos" w:hAnsi="Aptos"/>
          <w:color w:val="27313C"/>
        </w:rPr>
        <w:t>MobiusEMS follows the employee journey from account setup and onboarding through day-to-day work, growth, performance, and organizational reporting. Commercial teams can use the same platform for territory ownership, pipeline activity, and revenue visibility.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232"/>
            <w:shd w:fill="16345C"/>
            <w:tcMar>
              <w:top w:w="125" w:type="dxa"/>
              <w:start w:w="150" w:type="dxa"/>
              <w:bottom w:w="125" w:type="dxa"/>
              <w:end w:w="150" w:type="dxa"/>
            </w:tcMar>
            <w:vAlign w:val="center"/>
          </w:tcPr>
          <w:p>
            <w:pPr>
              <w:spacing w:after="0"/>
              <w:jc w:val="left"/>
            </w:pPr>
            <w:r>
              <w:rPr>
                <w:rFonts w:ascii="Aptos" w:hAnsi="Aptos"/>
                <w:b/>
                <w:color w:val="FFFFFF"/>
                <w:sz w:val="19"/>
              </w:rPr>
              <w:t>Capability</w:t>
            </w:r>
          </w:p>
        </w:tc>
        <w:tc>
          <w:tcPr>
            <w:tcW w:type="dxa" w:w="5112"/>
            <w:shd w:fill="16345C"/>
            <w:tcMar>
              <w:top w:w="125" w:type="dxa"/>
              <w:start w:w="150" w:type="dxa"/>
              <w:bottom w:w="125" w:type="dxa"/>
              <w:end w:w="150" w:type="dxa"/>
            </w:tcMar>
            <w:vAlign w:val="center"/>
          </w:tcPr>
          <w:p>
            <w:pPr>
              <w:spacing w:after="0"/>
              <w:jc w:val="left"/>
            </w:pPr>
            <w:r>
              <w:rPr>
                <w:rFonts w:ascii="Aptos" w:hAnsi="Aptos"/>
                <w:b/>
                <w:color w:val="FFFFFF"/>
                <w:sz w:val="19"/>
              </w:rPr>
              <w:t>What it covers</w:t>
            </w:r>
          </w:p>
        </w:tc>
        <w:tc>
          <w:tcPr>
            <w:tcW w:type="dxa" w:w="2448"/>
            <w:shd w:fill="16345C"/>
            <w:tcMar>
              <w:top w:w="125" w:type="dxa"/>
              <w:start w:w="150" w:type="dxa"/>
              <w:bottom w:w="125" w:type="dxa"/>
              <w:end w:w="150" w:type="dxa"/>
            </w:tcMar>
            <w:vAlign w:val="center"/>
          </w:tcPr>
          <w:p>
            <w:pPr>
              <w:spacing w:after="0"/>
              <w:jc w:val="left"/>
            </w:pPr>
            <w:r>
              <w:rPr>
                <w:rFonts w:ascii="Aptos" w:hAnsi="Aptos"/>
                <w:b/>
                <w:color w:val="FFFFFF"/>
                <w:sz w:val="19"/>
              </w:rPr>
              <w:t>Primary users</w:t>
            </w:r>
          </w:p>
        </w:tc>
      </w:tr>
      <w:tr>
        <w:tc>
          <w:tcPr>
            <w:tcW w:type="dxa" w:w="2232"/>
            <w:tcMar>
              <w:top w:w="115" w:type="dxa"/>
              <w:start w:w="150" w:type="dxa"/>
              <w:bottom w:w="115" w:type="dxa"/>
              <w:end w:w="150" w:type="dxa"/>
            </w:tcMar>
            <w:vAlign w:val="center"/>
          </w:tcPr>
          <w:p>
            <w:pPr>
              <w:spacing w:after="0" w:line="252" w:lineRule="auto"/>
            </w:pPr>
            <w:r>
              <w:rPr>
                <w:rFonts w:ascii="Aptos" w:hAnsi="Aptos"/>
                <w:b/>
                <w:color w:val="27313C"/>
                <w:sz w:val="18"/>
              </w:rPr>
              <w:t>Employee records</w:t>
            </w:r>
          </w:p>
        </w:tc>
        <w:tc>
          <w:tcPr>
            <w:tcW w:type="dxa" w:w="5112"/>
            <w:tcMar>
              <w:top w:w="115" w:type="dxa"/>
              <w:start w:w="150" w:type="dxa"/>
              <w:bottom w:w="115" w:type="dxa"/>
              <w:end w:w="150" w:type="dxa"/>
            </w:tcMar>
            <w:vAlign w:val="center"/>
          </w:tcPr>
          <w:p>
            <w:pPr>
              <w:spacing w:after="0" w:line="252" w:lineRule="auto"/>
            </w:pPr>
            <w:r>
              <w:rPr>
                <w:rFonts w:ascii="Aptos" w:hAnsi="Aptos"/>
                <w:b w:val="0"/>
                <w:color w:val="27313C"/>
                <w:sz w:val="18"/>
              </w:rPr>
              <w:t>Profiles, reporting lines, documents, career history, and lifecycle status</w:t>
            </w:r>
          </w:p>
        </w:tc>
        <w:tc>
          <w:tcPr>
            <w:tcW w:type="dxa" w:w="2448"/>
            <w:tcMar>
              <w:top w:w="115" w:type="dxa"/>
              <w:start w:w="150" w:type="dxa"/>
              <w:bottom w:w="115" w:type="dxa"/>
              <w:end w:w="150" w:type="dxa"/>
            </w:tcMar>
            <w:vAlign w:val="center"/>
          </w:tcPr>
          <w:p>
            <w:pPr>
              <w:spacing w:after="0" w:line="252" w:lineRule="auto"/>
            </w:pPr>
            <w:r>
              <w:rPr>
                <w:rFonts w:ascii="Aptos" w:hAnsi="Aptos"/>
                <w:b w:val="0"/>
                <w:color w:val="27313C"/>
                <w:sz w:val="18"/>
              </w:rPr>
              <w:t>Employees, HR, managers</w:t>
            </w:r>
          </w:p>
        </w:tc>
      </w:tr>
      <w:tr>
        <w:tc>
          <w:tcPr>
            <w:tcW w:type="dxa" w:w="2232"/>
            <w:tcMar>
              <w:top w:w="115" w:type="dxa"/>
              <w:start w:w="150" w:type="dxa"/>
              <w:bottom w:w="115" w:type="dxa"/>
              <w:end w:w="150" w:type="dxa"/>
            </w:tcMar>
            <w:vAlign w:val="center"/>
            <w:shd w:fill="EEF5FC"/>
          </w:tcPr>
          <w:p>
            <w:pPr>
              <w:spacing w:after="0" w:line="252" w:lineRule="auto"/>
            </w:pPr>
            <w:r>
              <w:rPr>
                <w:rFonts w:ascii="Aptos" w:hAnsi="Aptos"/>
                <w:b/>
                <w:color w:val="27313C"/>
                <w:sz w:val="18"/>
              </w:rPr>
              <w:t>Organization structure</w:t>
            </w:r>
          </w:p>
        </w:tc>
        <w:tc>
          <w:tcPr>
            <w:tcW w:type="dxa" w:w="5112"/>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Departments, teams, designations, and administrator setup</w:t>
            </w:r>
          </w:p>
        </w:tc>
        <w:tc>
          <w:tcPr>
            <w:tcW w:type="dxa" w:w="2448"/>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HR and administrators</w:t>
            </w:r>
          </w:p>
        </w:tc>
      </w:tr>
      <w:tr>
        <w:tc>
          <w:tcPr>
            <w:tcW w:type="dxa" w:w="2232"/>
            <w:tcMar>
              <w:top w:w="115" w:type="dxa"/>
              <w:start w:w="150" w:type="dxa"/>
              <w:bottom w:w="115" w:type="dxa"/>
              <w:end w:w="150" w:type="dxa"/>
            </w:tcMar>
            <w:vAlign w:val="center"/>
          </w:tcPr>
          <w:p>
            <w:pPr>
              <w:spacing w:after="0" w:line="252" w:lineRule="auto"/>
            </w:pPr>
            <w:r>
              <w:rPr>
                <w:rFonts w:ascii="Aptos" w:hAnsi="Aptos"/>
                <w:b/>
                <w:color w:val="27313C"/>
                <w:sz w:val="18"/>
              </w:rPr>
              <w:t>Work management</w:t>
            </w:r>
          </w:p>
        </w:tc>
        <w:tc>
          <w:tcPr>
            <w:tcW w:type="dxa" w:w="5112"/>
            <w:tcMar>
              <w:top w:w="115" w:type="dxa"/>
              <w:start w:w="150" w:type="dxa"/>
              <w:bottom w:w="115" w:type="dxa"/>
              <w:end w:w="150" w:type="dxa"/>
            </w:tcMar>
            <w:vAlign w:val="center"/>
          </w:tcPr>
          <w:p>
            <w:pPr>
              <w:spacing w:after="0" w:line="252" w:lineRule="auto"/>
            </w:pPr>
            <w:r>
              <w:rPr>
                <w:rFonts w:ascii="Aptos" w:hAnsi="Aptos"/>
                <w:b w:val="0"/>
                <w:color w:val="27313C"/>
                <w:sz w:val="18"/>
              </w:rPr>
              <w:t>Projects, tasks, reviews, blockers, workload, and task history</w:t>
            </w:r>
          </w:p>
        </w:tc>
        <w:tc>
          <w:tcPr>
            <w:tcW w:type="dxa" w:w="2448"/>
            <w:tcMar>
              <w:top w:w="115" w:type="dxa"/>
              <w:start w:w="150" w:type="dxa"/>
              <w:bottom w:w="115" w:type="dxa"/>
              <w:end w:w="150" w:type="dxa"/>
            </w:tcMar>
            <w:vAlign w:val="center"/>
          </w:tcPr>
          <w:p>
            <w:pPr>
              <w:spacing w:after="0" w:line="252" w:lineRule="auto"/>
            </w:pPr>
            <w:r>
              <w:rPr>
                <w:rFonts w:ascii="Aptos" w:hAnsi="Aptos"/>
                <w:b w:val="0"/>
                <w:color w:val="27313C"/>
                <w:sz w:val="18"/>
              </w:rPr>
              <w:t>Employees and managers</w:t>
            </w:r>
          </w:p>
        </w:tc>
      </w:tr>
      <w:tr>
        <w:tc>
          <w:tcPr>
            <w:tcW w:type="dxa" w:w="2232"/>
            <w:tcMar>
              <w:top w:w="115" w:type="dxa"/>
              <w:start w:w="150" w:type="dxa"/>
              <w:bottom w:w="115" w:type="dxa"/>
              <w:end w:w="150" w:type="dxa"/>
            </w:tcMar>
            <w:vAlign w:val="center"/>
            <w:shd w:fill="EEF5FC"/>
          </w:tcPr>
          <w:p>
            <w:pPr>
              <w:spacing w:after="0" w:line="252" w:lineRule="auto"/>
            </w:pPr>
            <w:r>
              <w:rPr>
                <w:rFonts w:ascii="Aptos" w:hAnsi="Aptos"/>
                <w:b/>
                <w:color w:val="27313C"/>
                <w:sz w:val="18"/>
              </w:rPr>
              <w:t>Attendance and people operations</w:t>
            </w:r>
          </w:p>
        </w:tc>
        <w:tc>
          <w:tcPr>
            <w:tcW w:type="dxa" w:w="5112"/>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Office attendance, leave requests, approvals, and recognition</w:t>
            </w:r>
          </w:p>
        </w:tc>
        <w:tc>
          <w:tcPr>
            <w:tcW w:type="dxa" w:w="2448"/>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Employees, HR, managers</w:t>
            </w:r>
          </w:p>
        </w:tc>
      </w:tr>
      <w:tr>
        <w:tc>
          <w:tcPr>
            <w:tcW w:type="dxa" w:w="2232"/>
            <w:tcMar>
              <w:top w:w="115" w:type="dxa"/>
              <w:start w:w="150" w:type="dxa"/>
              <w:bottom w:w="115" w:type="dxa"/>
              <w:end w:w="150" w:type="dxa"/>
            </w:tcMar>
            <w:vAlign w:val="center"/>
          </w:tcPr>
          <w:p>
            <w:pPr>
              <w:spacing w:after="0" w:line="252" w:lineRule="auto"/>
            </w:pPr>
            <w:r>
              <w:rPr>
                <w:rFonts w:ascii="Aptos" w:hAnsi="Aptos"/>
                <w:b/>
                <w:color w:val="27313C"/>
                <w:sz w:val="18"/>
              </w:rPr>
              <w:t>Skills and development</w:t>
            </w:r>
          </w:p>
        </w:tc>
        <w:tc>
          <w:tcPr>
            <w:tcW w:type="dxa" w:w="5112"/>
            <w:tcMar>
              <w:top w:w="115" w:type="dxa"/>
              <w:start w:w="150" w:type="dxa"/>
              <w:bottom w:w="115" w:type="dxa"/>
              <w:end w:w="150" w:type="dxa"/>
            </w:tcMar>
            <w:vAlign w:val="center"/>
          </w:tcPr>
          <w:p>
            <w:pPr>
              <w:spacing w:after="0" w:line="252" w:lineRule="auto"/>
            </w:pPr>
            <w:r>
              <w:rPr>
                <w:rFonts w:ascii="Aptos" w:hAnsi="Aptos"/>
                <w:b w:val="0"/>
                <w:color w:val="27313C"/>
                <w:sz w:val="18"/>
              </w:rPr>
              <w:t>Skill evidence, verification, assessments, gaps, and training</w:t>
            </w:r>
          </w:p>
        </w:tc>
        <w:tc>
          <w:tcPr>
            <w:tcW w:type="dxa" w:w="2448"/>
            <w:tcMar>
              <w:top w:w="115" w:type="dxa"/>
              <w:start w:w="150" w:type="dxa"/>
              <w:bottom w:w="115" w:type="dxa"/>
              <w:end w:w="150" w:type="dxa"/>
            </w:tcMar>
            <w:vAlign w:val="center"/>
          </w:tcPr>
          <w:p>
            <w:pPr>
              <w:spacing w:after="0" w:line="252" w:lineRule="auto"/>
            </w:pPr>
            <w:r>
              <w:rPr>
                <w:rFonts w:ascii="Aptos" w:hAnsi="Aptos"/>
                <w:b w:val="0"/>
                <w:color w:val="27313C"/>
                <w:sz w:val="18"/>
              </w:rPr>
              <w:t>Employees, HR, managers</w:t>
            </w:r>
          </w:p>
        </w:tc>
      </w:tr>
      <w:tr>
        <w:tc>
          <w:tcPr>
            <w:tcW w:type="dxa" w:w="2232"/>
            <w:tcMar>
              <w:top w:w="115" w:type="dxa"/>
              <w:start w:w="150" w:type="dxa"/>
              <w:bottom w:w="115" w:type="dxa"/>
              <w:end w:w="150" w:type="dxa"/>
            </w:tcMar>
            <w:vAlign w:val="center"/>
            <w:shd w:fill="EEF5FC"/>
          </w:tcPr>
          <w:p>
            <w:pPr>
              <w:spacing w:after="0" w:line="252" w:lineRule="auto"/>
            </w:pPr>
            <w:r>
              <w:rPr>
                <w:rFonts w:ascii="Aptos" w:hAnsi="Aptos"/>
                <w:b/>
                <w:color w:val="27313C"/>
                <w:sz w:val="18"/>
              </w:rPr>
              <w:t>Performance and contribution</w:t>
            </w:r>
          </w:p>
        </w:tc>
        <w:tc>
          <w:tcPr>
            <w:tcW w:type="dxa" w:w="5112"/>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Goals, KPIs, reviews, weekly outcomes, support needs, and trends</w:t>
            </w:r>
          </w:p>
        </w:tc>
        <w:tc>
          <w:tcPr>
            <w:tcW w:type="dxa" w:w="2448"/>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Employees and managers</w:t>
            </w:r>
          </w:p>
        </w:tc>
      </w:tr>
      <w:tr>
        <w:tc>
          <w:tcPr>
            <w:tcW w:type="dxa" w:w="2232"/>
            <w:tcMar>
              <w:top w:w="115" w:type="dxa"/>
              <w:start w:w="150" w:type="dxa"/>
              <w:bottom w:w="115" w:type="dxa"/>
              <w:end w:w="150" w:type="dxa"/>
            </w:tcMar>
            <w:vAlign w:val="center"/>
          </w:tcPr>
          <w:p>
            <w:pPr>
              <w:spacing w:after="0" w:line="252" w:lineRule="auto"/>
            </w:pPr>
            <w:r>
              <w:rPr>
                <w:rFonts w:ascii="Aptos" w:hAnsi="Aptos"/>
                <w:b/>
                <w:color w:val="27313C"/>
                <w:sz w:val="18"/>
              </w:rPr>
              <w:t>Recruitment and records</w:t>
            </w:r>
          </w:p>
        </w:tc>
        <w:tc>
          <w:tcPr>
            <w:tcW w:type="dxa" w:w="5112"/>
            <w:tcMar>
              <w:top w:w="115" w:type="dxa"/>
              <w:start w:w="150" w:type="dxa"/>
              <w:bottom w:w="115" w:type="dxa"/>
              <w:end w:w="150" w:type="dxa"/>
            </w:tcMar>
            <w:vAlign w:val="center"/>
          </w:tcPr>
          <w:p>
            <w:pPr>
              <w:spacing w:after="0" w:line="252" w:lineRule="auto"/>
            </w:pPr>
            <w:r>
              <w:rPr>
                <w:rFonts w:ascii="Aptos" w:hAnsi="Aptos"/>
                <w:b w:val="0"/>
                <w:color w:val="27313C"/>
                <w:sz w:val="18"/>
              </w:rPr>
              <w:t>Applicants, resume library, job descriptions, screening, reports, and search</w:t>
            </w:r>
          </w:p>
        </w:tc>
        <w:tc>
          <w:tcPr>
            <w:tcW w:type="dxa" w:w="2448"/>
            <w:tcMar>
              <w:top w:w="115" w:type="dxa"/>
              <w:start w:w="150" w:type="dxa"/>
              <w:bottom w:w="115" w:type="dxa"/>
              <w:end w:w="150" w:type="dxa"/>
            </w:tcMar>
            <w:vAlign w:val="center"/>
          </w:tcPr>
          <w:p>
            <w:pPr>
              <w:spacing w:after="0" w:line="252" w:lineRule="auto"/>
            </w:pPr>
            <w:r>
              <w:rPr>
                <w:rFonts w:ascii="Aptos" w:hAnsi="Aptos"/>
                <w:b w:val="0"/>
                <w:color w:val="27313C"/>
                <w:sz w:val="18"/>
              </w:rPr>
              <w:t>HR and administrators</w:t>
            </w:r>
          </w:p>
        </w:tc>
      </w:tr>
      <w:tr>
        <w:tc>
          <w:tcPr>
            <w:tcW w:type="dxa" w:w="2232"/>
            <w:tcMar>
              <w:top w:w="115" w:type="dxa"/>
              <w:start w:w="150" w:type="dxa"/>
              <w:bottom w:w="115" w:type="dxa"/>
              <w:end w:w="150" w:type="dxa"/>
            </w:tcMar>
            <w:vAlign w:val="center"/>
            <w:shd w:fill="EEF5FC"/>
          </w:tcPr>
          <w:p>
            <w:pPr>
              <w:spacing w:after="0" w:line="252" w:lineRule="auto"/>
            </w:pPr>
            <w:r>
              <w:rPr>
                <w:rFonts w:ascii="Aptos" w:hAnsi="Aptos"/>
                <w:b/>
                <w:color w:val="27313C"/>
                <w:sz w:val="18"/>
              </w:rPr>
              <w:t>Sales intelligence</w:t>
            </w:r>
          </w:p>
        </w:tc>
        <w:tc>
          <w:tcPr>
            <w:tcW w:type="dxa" w:w="5112"/>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Territories, leads, customers, pipeline, targets, revenue, and geographic analytics</w:t>
            </w:r>
          </w:p>
        </w:tc>
        <w:tc>
          <w:tcPr>
            <w:tcW w:type="dxa" w:w="2448"/>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Sales teams and leadership</w:t>
            </w:r>
          </w:p>
        </w:tc>
      </w:tr>
      <w:tr>
        <w:tc>
          <w:tcPr>
            <w:tcW w:type="dxa" w:w="2232"/>
            <w:tcMar>
              <w:top w:w="115" w:type="dxa"/>
              <w:start w:w="150" w:type="dxa"/>
              <w:bottom w:w="115" w:type="dxa"/>
              <w:end w:w="150" w:type="dxa"/>
            </w:tcMar>
            <w:vAlign w:val="center"/>
          </w:tcPr>
          <w:p>
            <w:pPr>
              <w:spacing w:after="0" w:line="252" w:lineRule="auto"/>
            </w:pPr>
            <w:r>
              <w:rPr>
                <w:rFonts w:ascii="Aptos" w:hAnsi="Aptos"/>
                <w:b/>
                <w:color w:val="27313C"/>
                <w:sz w:val="18"/>
              </w:rPr>
              <w:t>AI and automation</w:t>
            </w:r>
          </w:p>
        </w:tc>
        <w:tc>
          <w:tcPr>
            <w:tcW w:type="dxa" w:w="5112"/>
            <w:tcMar>
              <w:top w:w="115" w:type="dxa"/>
              <w:start w:w="150" w:type="dxa"/>
              <w:bottom w:w="115" w:type="dxa"/>
              <w:end w:w="150" w:type="dxa"/>
            </w:tcMar>
            <w:vAlign w:val="center"/>
          </w:tcPr>
          <w:p>
            <w:pPr>
              <w:spacing w:after="0" w:line="252" w:lineRule="auto"/>
            </w:pPr>
            <w:r>
              <w:rPr>
                <w:rFonts w:ascii="Aptos" w:hAnsi="Aptos"/>
                <w:b w:val="0"/>
                <w:color w:val="27313C"/>
                <w:sz w:val="18"/>
              </w:rPr>
              <w:t>Permission-aware assistance, report drafts, voice tasks, and email workflows</w:t>
            </w:r>
          </w:p>
        </w:tc>
        <w:tc>
          <w:tcPr>
            <w:tcW w:type="dxa" w:w="2448"/>
            <w:tcMar>
              <w:top w:w="115" w:type="dxa"/>
              <w:start w:w="150" w:type="dxa"/>
              <w:bottom w:w="115" w:type="dxa"/>
              <w:end w:w="150" w:type="dxa"/>
            </w:tcMar>
            <w:vAlign w:val="center"/>
          </w:tcPr>
          <w:p>
            <w:pPr>
              <w:spacing w:after="0" w:line="252" w:lineRule="auto"/>
            </w:pPr>
            <w:r>
              <w:rPr>
                <w:rFonts w:ascii="Aptos" w:hAnsi="Aptos"/>
                <w:b w:val="0"/>
                <w:color w:val="27313C"/>
                <w:sz w:val="18"/>
              </w:rPr>
              <w:t>Role-dependent</w:t>
            </w:r>
          </w:p>
        </w:tc>
      </w:tr>
      <w:tr>
        <w:tc>
          <w:tcPr>
            <w:tcW w:type="dxa" w:w="2232"/>
            <w:tcMar>
              <w:top w:w="115" w:type="dxa"/>
              <w:start w:w="150" w:type="dxa"/>
              <w:bottom w:w="115" w:type="dxa"/>
              <w:end w:w="150" w:type="dxa"/>
            </w:tcMar>
            <w:vAlign w:val="center"/>
            <w:shd w:fill="EEF5FC"/>
          </w:tcPr>
          <w:p>
            <w:pPr>
              <w:spacing w:after="0" w:line="252" w:lineRule="auto"/>
            </w:pPr>
            <w:r>
              <w:rPr>
                <w:rFonts w:ascii="Aptos" w:hAnsi="Aptos"/>
                <w:b/>
                <w:color w:val="27313C"/>
                <w:sz w:val="18"/>
              </w:rPr>
              <w:t>Security and administration</w:t>
            </w:r>
          </w:p>
        </w:tc>
        <w:tc>
          <w:tcPr>
            <w:tcW w:type="dxa" w:w="5112"/>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RBAC, audit records, tenant controls, session protection, and private files</w:t>
            </w:r>
          </w:p>
        </w:tc>
        <w:tc>
          <w:tcPr>
            <w:tcW w:type="dxa" w:w="2448"/>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Administrators and platform teams</w:t>
            </w:r>
          </w:p>
        </w:tc>
      </w:tr>
    </w:tbl>
    <w:p>
      <w:pPr>
        <w:spacing w:after="20"/>
      </w:pPr>
    </w:p>
    <w:p>
      <w:pPr>
        <w:pStyle w:val="Heading2"/>
        <w:keepNext/>
      </w:pPr>
      <w:r>
        <w:t>A role-aware experience</w:t>
      </w:r>
    </w:p>
    <w:p>
      <w:pPr>
        <w:keepLines/>
        <w:widowControl/>
        <w:spacing w:after="160"/>
      </w:pPr>
      <w:r>
        <w:rPr>
          <w:rFonts w:ascii="Aptos" w:hAnsi="Aptos"/>
          <w:color w:val="27313C"/>
        </w:rPr>
        <w:t>Navigation and data access adapt to each user's responsibilities. Employees see their own records and assigned work. Managers can review their permitted teams. HR and administrators receive broader operational access, while platform administrators manage separate client workspaces. Permissions can be configured without exposing unrelated records.</w:t>
      </w:r>
    </w:p>
    <w:p>
      <w:r>
        <w:br w:type="page"/>
      </w:r>
    </w:p>
    <w:p>
      <w:pPr>
        <w:keepNext/>
        <w:spacing w:before="0" w:after="160"/>
      </w:pPr>
      <w:r>
        <w:rPr>
          <w:rFonts w:ascii="Aptos" w:hAnsi="Aptos"/>
          <w:b/>
          <w:color w:val="126DD8"/>
          <w:sz w:val="18"/>
        </w:rPr>
        <w:t>PEOPLE FOUNDATION</w:t>
      </w:r>
    </w:p>
    <w:p>
      <w:pPr>
        <w:pStyle w:val="Heading1"/>
        <w:keepNext/>
      </w:pPr>
      <w:r>
        <w:t>Employee records and organization structure</w:t>
      </w:r>
    </w:p>
    <w:p>
      <w:pPr>
        <w:keepLines/>
        <w:widowControl/>
        <w:spacing w:after="160"/>
      </w:pPr>
      <w:r>
        <w:rPr>
          <w:rFonts w:ascii="Aptos" w:hAnsi="Aptos"/>
          <w:color w:val="27313C"/>
        </w:rPr>
        <w:t>The employee profile acts as the working record for each person. It connects formal employment information with current responsibilities, skills, work history, goals, learning, recognition, and supporting documents. Authorized users can move from an organization view to the detail behind an individual record without reconciling several systems.</w:t>
      </w:r>
    </w:p>
    <w:p>
      <w:pPr>
        <w:pStyle w:val="Heading2"/>
        <w:keepNext/>
      </w:pPr>
      <w:r>
        <w:t>Employee 360 profiles</w:t>
      </w:r>
    </w:p>
    <w:p>
      <w:pPr>
        <w:keepLines/>
        <w:widowControl/>
        <w:spacing w:after="160"/>
      </w:pPr>
      <w:r>
        <w:rPr>
          <w:rFonts w:ascii="Aptos" w:hAnsi="Aptos"/>
          <w:color w:val="27313C"/>
        </w:rPr>
        <w:t>Each profile keeps personal and professional information in one place and grows as the employee's work and development change.</w:t>
      </w:r>
    </w:p>
    <w:p>
      <w:pPr>
        <w:pStyle w:val="ListBullet"/>
        <w:keepLines/>
        <w:widowControl/>
        <w:spacing w:after="100"/>
        <w:ind w:left="317" w:hanging="216"/>
      </w:pPr>
      <w:r>
        <w:rPr>
          <w:rFonts w:ascii="Aptos" w:hAnsi="Aptos"/>
          <w:color w:val="27313C"/>
        </w:rPr>
        <w:t>Employment details, department, team, designation, manager, and reporting context</w:t>
      </w:r>
    </w:p>
    <w:p>
      <w:pPr>
        <w:pStyle w:val="ListBullet"/>
        <w:keepLines/>
        <w:widowControl/>
        <w:spacing w:after="100"/>
        <w:ind w:left="317" w:hanging="216"/>
      </w:pPr>
      <w:r>
        <w:rPr>
          <w:rFonts w:ascii="Aptos" w:hAnsi="Aptos"/>
          <w:color w:val="27313C"/>
        </w:rPr>
        <w:t>Profile completion guidance and resumable employee onboarding</w:t>
      </w:r>
    </w:p>
    <w:p>
      <w:pPr>
        <w:pStyle w:val="ListBullet"/>
        <w:keepLines/>
        <w:widowControl/>
        <w:spacing w:after="100"/>
        <w:ind w:left="317" w:hanging="216"/>
      </w:pPr>
      <w:r>
        <w:rPr>
          <w:rFonts w:ascii="Aptos" w:hAnsi="Aptos"/>
          <w:color w:val="27313C"/>
        </w:rPr>
        <w:t>Career timeline, lifecycle updates, and current employment status</w:t>
      </w:r>
    </w:p>
    <w:p>
      <w:pPr>
        <w:pStyle w:val="ListBullet"/>
        <w:keepLines/>
        <w:widowControl/>
        <w:spacing w:after="100"/>
        <w:ind w:left="317" w:hanging="216"/>
      </w:pPr>
      <w:r>
        <w:rPr>
          <w:rFonts w:ascii="Aptos" w:hAnsi="Aptos"/>
          <w:color w:val="27313C"/>
        </w:rPr>
        <w:t>Skills, assessments, goals, KPIs, training, tasks, projects, attendance, leave, and recognition</w:t>
      </w:r>
    </w:p>
    <w:p>
      <w:pPr>
        <w:pStyle w:val="ListBullet"/>
        <w:keepLines/>
        <w:widowControl/>
        <w:spacing w:after="100"/>
        <w:ind w:left="317" w:hanging="216"/>
      </w:pPr>
      <w:r>
        <w:rPr>
          <w:rFonts w:ascii="Aptos" w:hAnsi="Aptos"/>
          <w:color w:val="27313C"/>
        </w:rPr>
        <w:t>Private documents and resumes with access-controlled retrieval</w:t>
      </w:r>
    </w:p>
    <w:p>
      <w:pPr>
        <w:pStyle w:val="Heading2"/>
        <w:keepNext/>
      </w:pPr>
      <w:r>
        <w:t>Organization design</w:t>
      </w:r>
    </w:p>
    <w:p>
      <w:pPr>
        <w:keepLines/>
        <w:widowControl/>
        <w:spacing w:after="160"/>
      </w:pPr>
      <w:r>
        <w:rPr>
          <w:rFonts w:ascii="Aptos" w:hAnsi="Aptos"/>
          <w:color w:val="27313C"/>
        </w:rPr>
        <w:t>Administrators can maintain the structure that drives reporting lines, permissions, assessments, and workflow scope.</w:t>
      </w:r>
    </w:p>
    <w:p>
      <w:pPr>
        <w:pStyle w:val="ListBullet"/>
        <w:keepLines/>
        <w:widowControl/>
        <w:spacing w:after="100"/>
        <w:ind w:left="317" w:hanging="216"/>
      </w:pPr>
      <w:r>
        <w:rPr>
          <w:rFonts w:ascii="Aptos" w:hAnsi="Aptos"/>
          <w:color w:val="27313C"/>
        </w:rPr>
        <w:t>Departments, teams, and designations that can be updated as the organization changes</w:t>
      </w:r>
    </w:p>
    <w:p>
      <w:pPr>
        <w:pStyle w:val="ListBullet"/>
        <w:keepLines/>
        <w:widowControl/>
        <w:spacing w:after="100"/>
        <w:ind w:left="317" w:hanging="216"/>
      </w:pPr>
      <w:r>
        <w:rPr>
          <w:rFonts w:ascii="Aptos" w:hAnsi="Aptos"/>
          <w:color w:val="27313C"/>
        </w:rPr>
        <w:t>Manager and department-head visibility based on assigned scope</w:t>
      </w:r>
    </w:p>
    <w:p>
      <w:pPr>
        <w:pStyle w:val="ListBullet"/>
        <w:keepLines/>
        <w:widowControl/>
        <w:spacing w:after="100"/>
        <w:ind w:left="317" w:hanging="216"/>
      </w:pPr>
      <w:r>
        <w:rPr>
          <w:rFonts w:ascii="Aptos" w:hAnsi="Aptos"/>
          <w:color w:val="27313C"/>
        </w:rPr>
        <w:t>Administrator creation and configurable role permissions</w:t>
      </w:r>
    </w:p>
    <w:p>
      <w:pPr>
        <w:pStyle w:val="ListBullet"/>
        <w:keepLines/>
        <w:widowControl/>
        <w:spacing w:after="100"/>
        <w:ind w:left="317" w:hanging="216"/>
      </w:pPr>
      <w:r>
        <w:rPr>
          <w:rFonts w:ascii="Aptos" w:hAnsi="Aptos"/>
          <w:color w:val="27313C"/>
        </w:rPr>
        <w:t>Global search across permitted people and work records</w:t>
      </w:r>
    </w:p>
    <w:p>
      <w:r>
        <w:br w:type="page"/>
      </w:r>
    </w:p>
    <w:p>
      <w:pPr>
        <w:keepNext/>
        <w:spacing w:before="0" w:after="160"/>
      </w:pPr>
      <w:r>
        <w:rPr>
          <w:rFonts w:ascii="Aptos" w:hAnsi="Aptos"/>
          <w:b/>
          <w:color w:val="126DD8"/>
          <w:sz w:val="18"/>
        </w:rPr>
        <w:t>PEOPLE OPERATIONS</w:t>
      </w:r>
    </w:p>
    <w:p>
      <w:pPr>
        <w:pStyle w:val="Heading1"/>
        <w:keepNext/>
      </w:pPr>
      <w:r>
        <w:t>Attendance leave and recognition</w:t>
      </w:r>
    </w:p>
    <w:p>
      <w:pPr>
        <w:keepLines/>
        <w:widowControl/>
        <w:spacing w:after="160"/>
      </w:pPr>
      <w:r>
        <w:rPr>
          <w:rFonts w:ascii="Aptos" w:hAnsi="Aptos"/>
          <w:color w:val="27313C"/>
        </w:rPr>
        <w:t>MobiusEMS gives employees straightforward self-service tools and gives authorized teams a current operational register. Attendance is based on explicit check-in and check-out actions rather than background surveillance.</w:t>
      </w:r>
    </w:p>
    <w:p>
      <w:pPr>
        <w:pStyle w:val="Heading2"/>
        <w:keepNext/>
      </w:pPr>
      <w:r>
        <w:t>Attendance</w:t>
      </w:r>
    </w:p>
    <w:p>
      <w:pPr>
        <w:keepLines/>
        <w:widowControl/>
        <w:spacing w:after="160"/>
      </w:pPr>
      <w:r>
        <w:rPr>
          <w:rFonts w:ascii="Aptos" w:hAnsi="Aptos"/>
          <w:color w:val="27313C"/>
        </w:rPr>
        <w:t>Organizations can configure an office location and use location-aware attendance for on-site teams.</w:t>
      </w:r>
    </w:p>
    <w:p>
      <w:pPr>
        <w:pStyle w:val="ListBullet"/>
        <w:keepLines/>
        <w:widowControl/>
        <w:spacing w:after="100"/>
        <w:ind w:left="317" w:hanging="216"/>
      </w:pPr>
      <w:r>
        <w:rPr>
          <w:rFonts w:ascii="Aptos" w:hAnsi="Aptos"/>
          <w:color w:val="27313C"/>
        </w:rPr>
        <w:t>Employee check-in and check-out with location validation</w:t>
      </w:r>
    </w:p>
    <w:p>
      <w:pPr>
        <w:pStyle w:val="ListBullet"/>
        <w:keepLines/>
        <w:widowControl/>
        <w:spacing w:after="100"/>
        <w:ind w:left="317" w:hanging="216"/>
      </w:pPr>
      <w:r>
        <w:rPr>
          <w:rFonts w:ascii="Aptos" w:hAnsi="Aptos"/>
          <w:color w:val="27313C"/>
        </w:rPr>
        <w:t>Daily status and personal attendance history</w:t>
      </w:r>
    </w:p>
    <w:p>
      <w:pPr>
        <w:pStyle w:val="ListBullet"/>
        <w:keepLines/>
        <w:widowControl/>
        <w:spacing w:after="100"/>
        <w:ind w:left="317" w:hanging="216"/>
      </w:pPr>
      <w:r>
        <w:rPr>
          <w:rFonts w:ascii="Aptos" w:hAnsi="Aptos"/>
          <w:color w:val="27313C"/>
        </w:rPr>
        <w:t>Organization attendance register for authorized administrators</w:t>
      </w:r>
    </w:p>
    <w:p>
      <w:pPr>
        <w:pStyle w:val="ListBullet"/>
        <w:keepLines/>
        <w:widowControl/>
        <w:spacing w:after="100"/>
        <w:ind w:left="317" w:hanging="216"/>
      </w:pPr>
      <w:r>
        <w:rPr>
          <w:rFonts w:ascii="Aptos" w:hAnsi="Aptos"/>
          <w:color w:val="27313C"/>
        </w:rPr>
        <w:t>Office geofence configuration with server-side distance checks</w:t>
      </w:r>
    </w:p>
    <w:p>
      <w:pPr>
        <w:pStyle w:val="Heading2"/>
        <w:keepNext/>
      </w:pPr>
      <w:r>
        <w:t>Leave and recognition</w:t>
      </w:r>
    </w:p>
    <w:p>
      <w:pPr>
        <w:keepLines/>
        <w:widowControl/>
        <w:spacing w:after="160"/>
      </w:pPr>
      <w:r>
        <w:rPr>
          <w:rFonts w:ascii="Aptos" w:hAnsi="Aptos"/>
          <w:color w:val="27313C"/>
        </w:rPr>
        <w:t>Common people workflows stay alongside the employee record and remain visible to the people responsible for review.</w:t>
      </w:r>
    </w:p>
    <w:p>
      <w:pPr>
        <w:pStyle w:val="ListBullet"/>
        <w:keepLines/>
        <w:widowControl/>
        <w:spacing w:after="100"/>
        <w:ind w:left="317" w:hanging="216"/>
      </w:pPr>
      <w:r>
        <w:rPr>
          <w:rFonts w:ascii="Aptos" w:hAnsi="Aptos"/>
          <w:color w:val="27313C"/>
        </w:rPr>
        <w:t>Employee leave requests and manager review decisions</w:t>
      </w:r>
    </w:p>
    <w:p>
      <w:pPr>
        <w:pStyle w:val="ListBullet"/>
        <w:keepLines/>
        <w:widowControl/>
        <w:spacing w:after="100"/>
        <w:ind w:left="317" w:hanging="216"/>
      </w:pPr>
      <w:r>
        <w:rPr>
          <w:rFonts w:ascii="Aptos" w:hAnsi="Aptos"/>
          <w:color w:val="27313C"/>
        </w:rPr>
        <w:t>Recognition records created by authorized managers</w:t>
      </w:r>
    </w:p>
    <w:p>
      <w:pPr>
        <w:pStyle w:val="ListBullet"/>
        <w:keepLines/>
        <w:widowControl/>
        <w:spacing w:after="100"/>
        <w:ind w:left="317" w:hanging="216"/>
      </w:pPr>
      <w:r>
        <w:rPr>
          <w:rFonts w:ascii="Aptos" w:hAnsi="Aptos"/>
          <w:color w:val="27313C"/>
        </w:rPr>
        <w:t>In-app notifications for relevant workflow updates</w:t>
      </w:r>
    </w:p>
    <w:p>
      <w:pPr>
        <w:pStyle w:val="ListBullet"/>
        <w:keepLines/>
        <w:widowControl/>
        <w:spacing w:after="100"/>
        <w:ind w:left="317" w:hanging="216"/>
      </w:pPr>
      <w:r>
        <w:rPr>
          <w:rFonts w:ascii="Aptos" w:hAnsi="Aptos"/>
          <w:color w:val="27313C"/>
        </w:rPr>
        <w:t>A shared view for employees, managers, and people operations teams according to permission</w:t>
      </w:r>
    </w:p>
    <w:p>
      <w:pPr>
        <w:keepLines/>
        <w:widowControl/>
        <w:spacing w:after="160"/>
      </w:pPr>
      <w:r>
        <w:rPr>
          <w:rFonts w:ascii="Aptos" w:hAnsi="Aptos"/>
          <w:b/>
          <w:color w:val="000000"/>
        </w:rPr>
        <w:t xml:space="preserve">Clear separation of records. </w:t>
      </w:r>
      <w:r>
        <w:rPr>
          <w:rFonts w:ascii="Aptos" w:hAnsi="Aptos"/>
          <w:color w:val="27313C"/>
        </w:rPr>
        <w:t>Attendance and leave records can support staffing and performance conversations, but they remain distinct from task evidence and AI-generated summaries.</w:t>
      </w:r>
    </w:p>
    <w:p>
      <w:r>
        <w:br w:type="page"/>
      </w:r>
    </w:p>
    <w:p>
      <w:pPr>
        <w:keepNext/>
        <w:spacing w:before="0" w:after="160"/>
      </w:pPr>
      <w:r>
        <w:rPr>
          <w:rFonts w:ascii="Aptos" w:hAnsi="Aptos"/>
          <w:b/>
          <w:color w:val="126DD8"/>
          <w:sz w:val="18"/>
        </w:rPr>
        <w:t>DAILY DELIVERY</w:t>
      </w:r>
    </w:p>
    <w:p>
      <w:pPr>
        <w:pStyle w:val="Heading1"/>
        <w:keepNext/>
      </w:pPr>
      <w:r>
        <w:t>Projects tasks and voice capture</w:t>
      </w:r>
    </w:p>
    <w:p>
      <w:pPr>
        <w:keepLines/>
        <w:widowControl/>
        <w:spacing w:after="160"/>
      </w:pPr>
      <w:r>
        <w:rPr>
          <w:rFonts w:ascii="Aptos" w:hAnsi="Aptos"/>
          <w:color w:val="27313C"/>
        </w:rPr>
        <w:t>Work management connects ownership, deadlines, progress, blockers, evidence, and review status. Managers can see delivery in context, and employees can update assigned work without maintaining a separate status sheet.</w:t>
      </w:r>
    </w:p>
    <w:p>
      <w:pPr>
        <w:pStyle w:val="Heading2"/>
        <w:keepNext/>
      </w:pPr>
      <w:r>
        <w:t>Project and task management</w:t>
      </w:r>
    </w:p>
    <w:p>
      <w:pPr>
        <w:keepLines/>
        <w:widowControl/>
        <w:spacing w:after="160"/>
      </w:pPr>
      <w:r>
        <w:rPr>
          <w:rFonts w:ascii="Aptos" w:hAnsi="Aptos"/>
          <w:color w:val="27313C"/>
        </w:rPr>
        <w:t>Tasks follow defined status transitions and retain an activity history, making it easier to understand what changed and why.</w:t>
      </w:r>
    </w:p>
    <w:p>
      <w:pPr>
        <w:pStyle w:val="ListBullet"/>
        <w:keepLines/>
        <w:widowControl/>
        <w:spacing w:after="100"/>
        <w:ind w:left="317" w:hanging="216"/>
      </w:pPr>
      <w:r>
        <w:rPr>
          <w:rFonts w:ascii="Aptos" w:hAnsi="Aptos"/>
          <w:color w:val="27313C"/>
        </w:rPr>
        <w:t>Projects with assigned participants and related tasks</w:t>
      </w:r>
    </w:p>
    <w:p>
      <w:pPr>
        <w:pStyle w:val="ListBullet"/>
        <w:keepLines/>
        <w:widowControl/>
        <w:spacing w:after="100"/>
        <w:ind w:left="317" w:hanging="216"/>
      </w:pPr>
      <w:r>
        <w:rPr>
          <w:rFonts w:ascii="Aptos" w:hAnsi="Aptos"/>
          <w:color w:val="27313C"/>
        </w:rPr>
        <w:t>Kanban-style task boards with owners, deadlines, priorities, and status</w:t>
      </w:r>
    </w:p>
    <w:p>
      <w:pPr>
        <w:pStyle w:val="ListBullet"/>
        <w:keepLines/>
        <w:widowControl/>
        <w:spacing w:after="100"/>
        <w:ind w:left="317" w:hanging="216"/>
      </w:pPr>
      <w:r>
        <w:rPr>
          <w:rFonts w:ascii="Aptos" w:hAnsi="Aptos"/>
          <w:color w:val="27313C"/>
        </w:rPr>
        <w:t>Blocker recording, completion notes, actual hours, and supporting evidence</w:t>
      </w:r>
    </w:p>
    <w:p>
      <w:pPr>
        <w:pStyle w:val="ListBullet"/>
        <w:keepLines/>
        <w:widowControl/>
        <w:spacing w:after="100"/>
        <w:ind w:left="317" w:hanging="216"/>
      </w:pPr>
      <w:r>
        <w:rPr>
          <w:rFonts w:ascii="Aptos" w:hAnsi="Aptos"/>
          <w:color w:val="27313C"/>
        </w:rPr>
        <w:t>Quality review and rework information for completed work</w:t>
      </w:r>
    </w:p>
    <w:p>
      <w:pPr>
        <w:pStyle w:val="ListBullet"/>
        <w:keepLines/>
        <w:widowControl/>
        <w:spacing w:after="100"/>
        <w:ind w:left="317" w:hanging="216"/>
      </w:pPr>
      <w:r>
        <w:rPr>
          <w:rFonts w:ascii="Aptos" w:hAnsi="Aptos"/>
          <w:color w:val="27313C"/>
        </w:rPr>
        <w:t>Workload classification and views for employees and managers</w:t>
      </w:r>
    </w:p>
    <w:p>
      <w:pPr>
        <w:pStyle w:val="ListBullet"/>
        <w:keepLines/>
        <w:widowControl/>
        <w:spacing w:after="100"/>
        <w:ind w:left="317" w:hanging="216"/>
      </w:pPr>
      <w:r>
        <w:rPr>
          <w:rFonts w:ascii="Aptos" w:hAnsi="Aptos"/>
          <w:color w:val="27313C"/>
        </w:rPr>
        <w:t>Private personal to-do lists kept outside formal performance evidence</w:t>
      </w:r>
    </w:p>
    <w:p>
      <w:pPr>
        <w:pStyle w:val="Heading2"/>
        <w:keepNext/>
      </w:pPr>
      <w:r>
        <w:t>Multilingual voice task assistant</w:t>
      </w:r>
    </w:p>
    <w:p>
      <w:pPr>
        <w:keepLines/>
        <w:widowControl/>
        <w:spacing w:after="160"/>
      </w:pPr>
      <w:r>
        <w:rPr>
          <w:rFonts w:ascii="Aptos" w:hAnsi="Aptos"/>
          <w:color w:val="27313C"/>
        </w:rPr>
        <w:t>Employees and super administrators can turn a spoken instruction into an editable task action. The transcript and interpreted fields are reviewed before anything is applied.</w:t>
      </w:r>
    </w:p>
    <w:p>
      <w:pPr>
        <w:pStyle w:val="ListBullet"/>
        <w:keepLines/>
        <w:widowControl/>
        <w:spacing w:after="100"/>
        <w:ind w:left="317" w:hanging="216"/>
      </w:pPr>
      <w:r>
        <w:rPr>
          <w:rFonts w:ascii="Aptos" w:hAnsi="Aptos"/>
          <w:color w:val="27313C"/>
        </w:rPr>
        <w:t>Create, update, start, block, or complete a task through speech</w:t>
      </w:r>
    </w:p>
    <w:p>
      <w:pPr>
        <w:pStyle w:val="ListBullet"/>
        <w:keepLines/>
        <w:widowControl/>
        <w:spacing w:after="100"/>
        <w:ind w:left="317" w:hanging="216"/>
      </w:pPr>
      <w:r>
        <w:rPr>
          <w:rFonts w:ascii="Aptos" w:hAnsi="Aptos"/>
          <w:color w:val="27313C"/>
        </w:rPr>
        <w:t>English plus Hindi, Bengali, Tamil, Telugu, Marathi, Gujarati, Kannada, Malayalam, Punjabi, and Urdu</w:t>
      </w:r>
    </w:p>
    <w:p>
      <w:pPr>
        <w:pStyle w:val="ListBullet"/>
        <w:keepLines/>
        <w:widowControl/>
        <w:spacing w:after="100"/>
        <w:ind w:left="317" w:hanging="216"/>
      </w:pPr>
      <w:r>
        <w:rPr>
          <w:rFonts w:ascii="Aptos" w:hAnsi="Aptos"/>
          <w:color w:val="27313C"/>
        </w:rPr>
        <w:t>Automatic or explicit language selection</w:t>
      </w:r>
    </w:p>
    <w:p>
      <w:pPr>
        <w:pStyle w:val="ListBullet"/>
        <w:keepLines/>
        <w:widowControl/>
        <w:spacing w:after="100"/>
        <w:ind w:left="317" w:hanging="216"/>
      </w:pPr>
      <w:r>
        <w:rPr>
          <w:rFonts w:ascii="Aptos" w:hAnsi="Aptos"/>
          <w:color w:val="27313C"/>
        </w:rPr>
        <w:t>Local speech transcription with recorded audio removed after transcription</w:t>
      </w:r>
    </w:p>
    <w:p>
      <w:pPr>
        <w:pStyle w:val="ListBullet"/>
        <w:keepLines/>
        <w:widowControl/>
        <w:spacing w:after="100"/>
        <w:ind w:left="317" w:hanging="216"/>
      </w:pPr>
      <w:r>
        <w:rPr>
          <w:rFonts w:ascii="Aptos" w:hAnsi="Aptos"/>
          <w:color w:val="27313C"/>
        </w:rPr>
        <w:t>Confirmation preview, task matching, and an auditable record of confirmed commands</w:t>
      </w:r>
    </w:p>
    <w:p>
      <w:r>
        <w:br w:type="page"/>
      </w:r>
    </w:p>
    <w:p>
      <w:pPr>
        <w:keepNext/>
        <w:spacing w:before="0" w:after="160"/>
      </w:pPr>
      <w:r>
        <w:rPr>
          <w:rFonts w:ascii="Aptos" w:hAnsi="Aptos"/>
          <w:b/>
          <w:color w:val="126DD8"/>
          <w:sz w:val="18"/>
        </w:rPr>
        <w:t>CAPABILITY DEVELOPMENT</w:t>
      </w:r>
    </w:p>
    <w:p>
      <w:pPr>
        <w:pStyle w:val="Heading1"/>
        <w:keepNext/>
      </w:pPr>
      <w:r>
        <w:t>Skills assessments and learning</w:t>
      </w:r>
    </w:p>
    <w:p>
      <w:pPr>
        <w:keepLines/>
        <w:widowControl/>
        <w:spacing w:after="160"/>
      </w:pPr>
      <w:r>
        <w:rPr>
          <w:rFonts w:ascii="Aptos" w:hAnsi="Aptos"/>
          <w:color w:val="27313C"/>
        </w:rPr>
        <w:t>The skills framework distinguishes a claimed skill from one supported by evidence, independently verified, or assessed. This gives managers a more useful view of available capability and gives employees a clear way to document growth.</w:t>
      </w:r>
    </w:p>
    <w:p>
      <w:pPr>
        <w:pStyle w:val="Heading2"/>
        <w:keepNext/>
      </w:pPr>
      <w:r>
        <w:t>Skills and verification</w:t>
      </w:r>
    </w:p>
    <w:p>
      <w:pPr>
        <w:keepLines/>
        <w:widowControl/>
        <w:spacing w:after="160"/>
      </w:pPr>
      <w:r>
        <w:rPr>
          <w:rFonts w:ascii="Aptos" w:hAnsi="Aptos"/>
          <w:color w:val="27313C"/>
        </w:rPr>
        <w:t>Role expectations and employee evidence can be compared without treating every self-declared skill as equivalent.</w:t>
      </w:r>
    </w:p>
    <w:p>
      <w:pPr>
        <w:pStyle w:val="ListBullet"/>
        <w:keepLines/>
        <w:widowControl/>
        <w:spacing w:after="100"/>
        <w:ind w:left="317" w:hanging="216"/>
      </w:pPr>
      <w:r>
        <w:rPr>
          <w:rFonts w:ascii="Aptos" w:hAnsi="Aptos"/>
          <w:color w:val="27313C"/>
        </w:rPr>
        <w:t>Skill claims with proficiency levels and private supporting evidence</w:t>
      </w:r>
    </w:p>
    <w:p>
      <w:pPr>
        <w:pStyle w:val="ListBullet"/>
        <w:keepLines/>
        <w:widowControl/>
        <w:spacing w:after="100"/>
        <w:ind w:left="317" w:hanging="216"/>
      </w:pPr>
      <w:r>
        <w:rPr>
          <w:rFonts w:ascii="Aptos" w:hAnsi="Aptos"/>
          <w:color w:val="27313C"/>
        </w:rPr>
        <w:t>Independent verification and verification history</w:t>
      </w:r>
    </w:p>
    <w:p>
      <w:pPr>
        <w:pStyle w:val="ListBullet"/>
        <w:keepLines/>
        <w:widowControl/>
        <w:spacing w:after="100"/>
        <w:ind w:left="317" w:hanging="216"/>
      </w:pPr>
      <w:r>
        <w:rPr>
          <w:rFonts w:ascii="Aptos" w:hAnsi="Aptos"/>
          <w:color w:val="27313C"/>
        </w:rPr>
        <w:t>Designation-based skill expectations and role-gap analysis</w:t>
      </w:r>
    </w:p>
    <w:p>
      <w:pPr>
        <w:pStyle w:val="ListBullet"/>
        <w:keepLines/>
        <w:widowControl/>
        <w:spacing w:after="100"/>
        <w:ind w:left="317" w:hanging="216"/>
      </w:pPr>
      <w:r>
        <w:rPr>
          <w:rFonts w:ascii="Aptos" w:hAnsi="Aptos"/>
          <w:color w:val="27313C"/>
        </w:rPr>
        <w:t>Assessments and recorded assessment results</w:t>
      </w:r>
    </w:p>
    <w:p>
      <w:pPr>
        <w:pStyle w:val="ListBullet"/>
        <w:keepLines/>
        <w:widowControl/>
        <w:spacing w:after="100"/>
        <w:ind w:left="317" w:hanging="216"/>
      </w:pPr>
      <w:r>
        <w:rPr>
          <w:rFonts w:ascii="Aptos" w:hAnsi="Aptos"/>
          <w:color w:val="27313C"/>
        </w:rPr>
        <w:t>Employee skill matrix and organization heatmaps for authorized managers</w:t>
      </w:r>
    </w:p>
    <w:p>
      <w:pPr>
        <w:pStyle w:val="Heading2"/>
        <w:keepNext/>
      </w:pPr>
      <w:r>
        <w:t>Development planning</w:t>
      </w:r>
    </w:p>
    <w:p>
      <w:pPr>
        <w:keepLines/>
        <w:widowControl/>
        <w:spacing w:after="160"/>
      </w:pPr>
      <w:r>
        <w:rPr>
          <w:rFonts w:ascii="Aptos" w:hAnsi="Aptos"/>
          <w:color w:val="27313C"/>
        </w:rPr>
        <w:t>Learning activity can be tied back to role requirements and current work rather than managed as an isolated course list.</w:t>
      </w:r>
    </w:p>
    <w:p>
      <w:pPr>
        <w:pStyle w:val="ListBullet"/>
        <w:keepLines/>
        <w:widowControl/>
        <w:spacing w:after="100"/>
        <w:ind w:left="317" w:hanging="216"/>
      </w:pPr>
      <w:r>
        <w:rPr>
          <w:rFonts w:ascii="Aptos" w:hAnsi="Aptos"/>
          <w:color w:val="27313C"/>
        </w:rPr>
        <w:t>Training catalogue and employee training assignments</w:t>
      </w:r>
    </w:p>
    <w:p>
      <w:pPr>
        <w:pStyle w:val="ListBullet"/>
        <w:keepLines/>
        <w:widowControl/>
        <w:spacing w:after="100"/>
        <w:ind w:left="317" w:hanging="216"/>
      </w:pPr>
      <w:r>
        <w:rPr>
          <w:rFonts w:ascii="Aptos" w:hAnsi="Aptos"/>
          <w:color w:val="27313C"/>
        </w:rPr>
        <w:t>Progress and completion tracking</w:t>
      </w:r>
    </w:p>
    <w:p>
      <w:pPr>
        <w:pStyle w:val="ListBullet"/>
        <w:keepLines/>
        <w:widowControl/>
        <w:spacing w:after="100"/>
        <w:ind w:left="317" w:hanging="216"/>
      </w:pPr>
      <w:r>
        <w:rPr>
          <w:rFonts w:ascii="Aptos" w:hAnsi="Aptos"/>
          <w:color w:val="27313C"/>
        </w:rPr>
        <w:t>Skill-growth history and development priorities</w:t>
      </w:r>
    </w:p>
    <w:p>
      <w:pPr>
        <w:pStyle w:val="ListBullet"/>
        <w:keepLines/>
        <w:widowControl/>
        <w:spacing w:after="100"/>
        <w:ind w:left="317" w:hanging="216"/>
      </w:pPr>
      <w:r>
        <w:rPr>
          <w:rFonts w:ascii="Aptos" w:hAnsi="Aptos"/>
          <w:color w:val="27313C"/>
        </w:rPr>
        <w:t>Project staffing recommendations based on skill fit, availability, and permitted performance evidence</w:t>
      </w:r>
    </w:p>
    <w:p>
      <w:r>
        <w:br w:type="page"/>
      </w:r>
    </w:p>
    <w:p>
      <w:pPr>
        <w:keepNext/>
        <w:spacing w:before="0" w:after="160"/>
      </w:pPr>
      <w:r>
        <w:rPr>
          <w:rFonts w:ascii="Aptos" w:hAnsi="Aptos"/>
          <w:b/>
          <w:color w:val="126DD8"/>
          <w:sz w:val="18"/>
        </w:rPr>
        <w:t>PERFORMANCE CONTEXT</w:t>
      </w:r>
    </w:p>
    <w:p>
      <w:pPr>
        <w:pStyle w:val="Heading1"/>
        <w:keepNext/>
      </w:pPr>
      <w:r>
        <w:t>Goals reviews and contribution evidence</w:t>
      </w:r>
    </w:p>
    <w:p>
      <w:pPr>
        <w:keepLines/>
        <w:widowControl/>
        <w:spacing w:after="160"/>
      </w:pPr>
      <w:r>
        <w:rPr>
          <w:rFonts w:ascii="Aptos" w:hAnsi="Aptos"/>
          <w:color w:val="27313C"/>
        </w:rPr>
        <w:t>Performance management combines planned goals with measured KPIs, documented outcomes, review input, and support needs. The platform keeps the underlying evidence visible so a score or summary can be checked rather than accepted without context.</w:t>
      </w:r>
    </w:p>
    <w:p>
      <w:pPr>
        <w:pStyle w:val="Heading2"/>
        <w:keepNext/>
      </w:pPr>
      <w:r>
        <w:t>Goals KPIs and reviews</w:t>
      </w:r>
    </w:p>
    <w:p>
      <w:pPr>
        <w:keepLines/>
        <w:widowControl/>
        <w:spacing w:after="160"/>
      </w:pPr>
      <w:r>
        <w:rPr>
          <w:rFonts w:ascii="Aptos" w:hAnsi="Aptos"/>
          <w:color w:val="27313C"/>
        </w:rPr>
        <w:t>Managers can define expectations, evaluate results, and retain comparable historical snapshots.</w:t>
      </w:r>
    </w:p>
    <w:p>
      <w:pPr>
        <w:pStyle w:val="ListBullet"/>
        <w:keepLines/>
        <w:widowControl/>
        <w:spacing w:after="100"/>
        <w:ind w:left="317" w:hanging="216"/>
      </w:pPr>
      <w:r>
        <w:rPr>
          <w:rFonts w:ascii="Aptos" w:hAnsi="Aptos"/>
          <w:color w:val="27313C"/>
        </w:rPr>
        <w:t>Employee goals and configurable KPI definitions</w:t>
      </w:r>
    </w:p>
    <w:p>
      <w:pPr>
        <w:pStyle w:val="ListBullet"/>
        <w:keepLines/>
        <w:widowControl/>
        <w:spacing w:after="100"/>
        <w:ind w:left="317" w:hanging="216"/>
      </w:pPr>
      <w:r>
        <w:rPr>
          <w:rFonts w:ascii="Aptos" w:hAnsi="Aptos"/>
          <w:color w:val="27313C"/>
        </w:rPr>
        <w:t>KPI evaluation with recorded values and review periods</w:t>
      </w:r>
    </w:p>
    <w:p>
      <w:pPr>
        <w:pStyle w:val="ListBullet"/>
        <w:keepLines/>
        <w:widowControl/>
        <w:spacing w:after="100"/>
        <w:ind w:left="317" w:hanging="216"/>
      </w:pPr>
      <w:r>
        <w:rPr>
          <w:rFonts w:ascii="Aptos" w:hAnsi="Aptos"/>
          <w:color w:val="27313C"/>
        </w:rPr>
        <w:t>Self-review and manager-review workflows</w:t>
      </w:r>
    </w:p>
    <w:p>
      <w:pPr>
        <w:pStyle w:val="ListBullet"/>
        <w:keepLines/>
        <w:widowControl/>
        <w:spacing w:after="100"/>
        <w:ind w:left="317" w:hanging="216"/>
      </w:pPr>
      <w:r>
        <w:rPr>
          <w:rFonts w:ascii="Aptos" w:hAnsi="Aptos"/>
          <w:color w:val="27313C"/>
        </w:rPr>
        <w:t>Weighted performance snapshots and historical trends</w:t>
      </w:r>
    </w:p>
    <w:p>
      <w:pPr>
        <w:pStyle w:val="ListBullet"/>
        <w:keepLines/>
        <w:widowControl/>
        <w:spacing w:after="100"/>
        <w:ind w:left="317" w:hanging="216"/>
      </w:pPr>
      <w:r>
        <w:rPr>
          <w:rFonts w:ascii="Aptos" w:hAnsi="Aptos"/>
          <w:color w:val="27313C"/>
        </w:rPr>
        <w:t>Department analytics and configurable performance templates</w:t>
      </w:r>
    </w:p>
    <w:p>
      <w:pPr>
        <w:pStyle w:val="Heading2"/>
        <w:keepNext/>
      </w:pPr>
      <w:r>
        <w:t>Contribution and support</w:t>
      </w:r>
    </w:p>
    <w:p>
      <w:pPr>
        <w:keepLines/>
        <w:widowControl/>
        <w:spacing w:after="160"/>
      </w:pPr>
      <w:r>
        <w:rPr>
          <w:rFonts w:ascii="Aptos" w:hAnsi="Aptos"/>
          <w:color w:val="27313C"/>
        </w:rPr>
        <w:t>Weekly updates capture delivered outcomes as well as the conditions surrounding them.</w:t>
      </w:r>
    </w:p>
    <w:p>
      <w:pPr>
        <w:pStyle w:val="ListBullet"/>
        <w:keepLines/>
        <w:widowControl/>
        <w:spacing w:after="100"/>
        <w:ind w:left="317" w:hanging="216"/>
      </w:pPr>
      <w:r>
        <w:rPr>
          <w:rFonts w:ascii="Aptos" w:hAnsi="Aptos"/>
          <w:color w:val="27313C"/>
        </w:rPr>
        <w:t>Weekly outcome updates and contribution evidence</w:t>
      </w:r>
    </w:p>
    <w:p>
      <w:pPr>
        <w:pStyle w:val="ListBullet"/>
        <w:keepLines/>
        <w:widowControl/>
        <w:spacing w:after="100"/>
        <w:ind w:left="317" w:hanging="216"/>
      </w:pPr>
      <w:r>
        <w:rPr>
          <w:rFonts w:ascii="Aptos" w:hAnsi="Aptos"/>
          <w:color w:val="27313C"/>
        </w:rPr>
        <w:t>Support requests and blockers that managers can address</w:t>
      </w:r>
    </w:p>
    <w:p>
      <w:pPr>
        <w:pStyle w:val="ListBullet"/>
        <w:keepLines/>
        <w:widowControl/>
        <w:spacing w:after="100"/>
        <w:ind w:left="317" w:hanging="216"/>
      </w:pPr>
      <w:r>
        <w:rPr>
          <w:rFonts w:ascii="Aptos" w:hAnsi="Aptos"/>
          <w:color w:val="27313C"/>
        </w:rPr>
        <w:t>Private one-to-one records for manager and employee conversations</w:t>
      </w:r>
    </w:p>
    <w:p>
      <w:pPr>
        <w:pStyle w:val="ListBullet"/>
        <w:keepLines/>
        <w:widowControl/>
        <w:spacing w:after="100"/>
        <w:ind w:left="317" w:hanging="216"/>
      </w:pPr>
      <w:r>
        <w:rPr>
          <w:rFonts w:ascii="Aptos" w:hAnsi="Aptos"/>
          <w:color w:val="27313C"/>
        </w:rPr>
        <w:t>Evidence-coverage indicators that keep missing information separate from poor performance</w:t>
      </w:r>
    </w:p>
    <w:p>
      <w:pPr>
        <w:pStyle w:val="ListBullet"/>
        <w:keepLines/>
        <w:widowControl/>
        <w:spacing w:after="100"/>
        <w:ind w:left="317" w:hanging="216"/>
      </w:pPr>
      <w:r>
        <w:rPr>
          <w:rFonts w:ascii="Aptos" w:hAnsi="Aptos"/>
          <w:color w:val="27313C"/>
        </w:rPr>
        <w:t>Deterministic calculations for quantitative performance and contribution metrics</w:t>
      </w:r>
    </w:p>
    <w:p>
      <w:r>
        <w:br w:type="page"/>
      </w:r>
    </w:p>
    <w:p>
      <w:pPr>
        <w:keepNext/>
        <w:spacing w:before="0" w:after="160"/>
      </w:pPr>
      <w:r>
        <w:rPr>
          <w:rFonts w:ascii="Aptos" w:hAnsi="Aptos"/>
          <w:b/>
          <w:color w:val="126DD8"/>
          <w:sz w:val="18"/>
        </w:rPr>
        <w:t>TALENT ACQUISITION AND RECORDS</w:t>
      </w:r>
    </w:p>
    <w:p>
      <w:pPr>
        <w:pStyle w:val="Heading1"/>
        <w:keepNext/>
      </w:pPr>
      <w:r>
        <w:t>Recruitment documents and reporting</w:t>
      </w:r>
    </w:p>
    <w:p>
      <w:pPr>
        <w:keepLines/>
        <w:widowControl/>
        <w:spacing w:after="160"/>
      </w:pPr>
      <w:r>
        <w:rPr>
          <w:rFonts w:ascii="Aptos" w:hAnsi="Aptos"/>
          <w:color w:val="27313C"/>
        </w:rPr>
        <w:t>Recruitment and document workflows use the same permission model as the rest of the platform. HR teams can organize applicants and compare resumes with saved job requirements, while employee files remain private and available only after an authorization check.</w:t>
      </w:r>
    </w:p>
    <w:p>
      <w:pPr>
        <w:pStyle w:val="Heading2"/>
        <w:keepNext/>
      </w:pPr>
      <w:r>
        <w:t>Applicant and resume management</w:t>
      </w:r>
    </w:p>
    <w:p>
      <w:pPr>
        <w:keepLines/>
        <w:widowControl/>
        <w:spacing w:after="160"/>
      </w:pPr>
      <w:r>
        <w:rPr>
          <w:rFonts w:ascii="Aptos" w:hAnsi="Aptos"/>
          <w:color w:val="27313C"/>
        </w:rPr>
        <w:t>The recruitment workspace helps HR organize source files and prepare a transparent first-pass comparison for human review.</w:t>
      </w:r>
    </w:p>
    <w:p>
      <w:pPr>
        <w:pStyle w:val="ListBullet"/>
        <w:keepLines/>
        <w:widowControl/>
        <w:spacing w:after="100"/>
        <w:ind w:left="317" w:hanging="216"/>
      </w:pPr>
      <w:r>
        <w:rPr>
          <w:rFonts w:ascii="Aptos" w:hAnsi="Aptos"/>
          <w:color w:val="27313C"/>
        </w:rPr>
        <w:t>Applicant records with uploaded PDF or DOCX resumes</w:t>
      </w:r>
    </w:p>
    <w:p>
      <w:pPr>
        <w:pStyle w:val="ListBullet"/>
        <w:keepLines/>
        <w:widowControl/>
        <w:spacing w:after="100"/>
        <w:ind w:left="317" w:hanging="216"/>
      </w:pPr>
      <w:r>
        <w:rPr>
          <w:rFonts w:ascii="Aptos" w:hAnsi="Aptos"/>
          <w:color w:val="27313C"/>
        </w:rPr>
        <w:t>Searchable employee and applicant resume libraries</w:t>
      </w:r>
    </w:p>
    <w:p>
      <w:pPr>
        <w:pStyle w:val="ListBullet"/>
        <w:keepLines/>
        <w:widowControl/>
        <w:spacing w:after="100"/>
        <w:ind w:left="317" w:hanging="216"/>
      </w:pPr>
      <w:r>
        <w:rPr>
          <w:rFonts w:ascii="Aptos" w:hAnsi="Aptos"/>
          <w:color w:val="27313C"/>
        </w:rPr>
        <w:t>Reusable job descriptions</w:t>
      </w:r>
    </w:p>
    <w:p>
      <w:pPr>
        <w:pStyle w:val="ListBullet"/>
        <w:keepLines/>
        <w:widowControl/>
        <w:spacing w:after="100"/>
        <w:ind w:left="317" w:hanging="216"/>
      </w:pPr>
      <w:r>
        <w:rPr>
          <w:rFonts w:ascii="Aptos" w:hAnsi="Aptos"/>
          <w:color w:val="27313C"/>
        </w:rPr>
        <w:t>Batch resume screening against documented job requirements</w:t>
      </w:r>
    </w:p>
    <w:p>
      <w:pPr>
        <w:pStyle w:val="ListBullet"/>
        <w:keepLines/>
        <w:widowControl/>
        <w:spacing w:after="100"/>
        <w:ind w:left="317" w:hanging="216"/>
      </w:pPr>
      <w:r>
        <w:rPr>
          <w:rFonts w:ascii="Aptos" w:hAnsi="Aptos"/>
          <w:color w:val="27313C"/>
        </w:rPr>
        <w:t>Matched and missing requirements shown with supporting evidence</w:t>
      </w:r>
    </w:p>
    <w:p>
      <w:pPr>
        <w:pStyle w:val="ListBullet"/>
        <w:keepLines/>
        <w:widowControl/>
        <w:spacing w:after="100"/>
        <w:ind w:left="317" w:hanging="216"/>
      </w:pPr>
      <w:r>
        <w:rPr>
          <w:rFonts w:ascii="Aptos" w:hAnsi="Aptos"/>
          <w:color w:val="27313C"/>
        </w:rPr>
        <w:t>Advisory candidate rankings that do not replace hiring review</w:t>
      </w:r>
    </w:p>
    <w:p>
      <w:pPr>
        <w:pStyle w:val="Heading2"/>
        <w:keepNext/>
      </w:pPr>
      <w:r>
        <w:t>Private documents and governance</w:t>
      </w:r>
    </w:p>
    <w:p>
      <w:pPr>
        <w:keepLines/>
        <w:widowControl/>
        <w:spacing w:after="160"/>
      </w:pPr>
      <w:r>
        <w:rPr>
          <w:rFonts w:ascii="Aptos" w:hAnsi="Aptos"/>
          <w:color w:val="27313C"/>
        </w:rPr>
        <w:t>Files and operational records are handled through authorized application routes rather than public folders.</w:t>
      </w:r>
    </w:p>
    <w:p>
      <w:pPr>
        <w:pStyle w:val="ListBullet"/>
        <w:keepLines/>
        <w:widowControl/>
        <w:spacing w:after="100"/>
        <w:ind w:left="317" w:hanging="216"/>
      </w:pPr>
      <w:r>
        <w:rPr>
          <w:rFonts w:ascii="Aptos" w:hAnsi="Aptos"/>
          <w:color w:val="27313C"/>
        </w:rPr>
        <w:t>Private document upload, listing, authorized download, and archive actions</w:t>
      </w:r>
    </w:p>
    <w:p>
      <w:pPr>
        <w:pStyle w:val="ListBullet"/>
        <w:keepLines/>
        <w:widowControl/>
        <w:spacing w:after="100"/>
        <w:ind w:left="317" w:hanging="216"/>
      </w:pPr>
      <w:r>
        <w:rPr>
          <w:rFonts w:ascii="Aptos" w:hAnsi="Aptos"/>
          <w:color w:val="27313C"/>
        </w:rPr>
        <w:t>Signed access to stored files after backend permission checks</w:t>
      </w:r>
    </w:p>
    <w:p>
      <w:pPr>
        <w:pStyle w:val="ListBullet"/>
        <w:keepLines/>
        <w:widowControl/>
        <w:spacing w:after="100"/>
        <w:ind w:left="317" w:hanging="216"/>
      </w:pPr>
      <w:r>
        <w:rPr>
          <w:rFonts w:ascii="Aptos" w:hAnsi="Aptos"/>
          <w:color w:val="27313C"/>
        </w:rPr>
        <w:t>Role-scoped operational reports and global search</w:t>
      </w:r>
    </w:p>
    <w:p>
      <w:pPr>
        <w:pStyle w:val="ListBullet"/>
        <w:keepLines/>
        <w:widowControl/>
        <w:spacing w:after="100"/>
        <w:ind w:left="317" w:hanging="216"/>
      </w:pPr>
      <w:r>
        <w:rPr>
          <w:rFonts w:ascii="Aptos" w:hAnsi="Aptos"/>
          <w:color w:val="27313C"/>
        </w:rPr>
        <w:t>In-app notifications and access audit records</w:t>
      </w:r>
    </w:p>
    <w:p>
      <w:r>
        <w:br w:type="page"/>
      </w:r>
    </w:p>
    <w:p>
      <w:pPr>
        <w:keepNext/>
        <w:spacing w:before="0" w:after="160"/>
      </w:pPr>
      <w:r>
        <w:rPr>
          <w:rFonts w:ascii="Aptos" w:hAnsi="Aptos"/>
          <w:b/>
          <w:color w:val="126DD8"/>
          <w:sz w:val="18"/>
        </w:rPr>
        <w:t>COMMERCIAL OPERATIONS</w:t>
      </w:r>
    </w:p>
    <w:p>
      <w:pPr>
        <w:pStyle w:val="Heading1"/>
        <w:keepNext/>
      </w:pPr>
      <w:r>
        <w:t>Sales territory and revenue intelligence</w:t>
      </w:r>
    </w:p>
    <w:p>
      <w:pPr>
        <w:keepLines/>
        <w:widowControl/>
        <w:spacing w:after="160"/>
      </w:pPr>
      <w:r>
        <w:rPr>
          <w:rFonts w:ascii="Aptos" w:hAnsi="Aptos"/>
          <w:color w:val="27313C"/>
        </w:rPr>
        <w:t>The Sales module connects geographic ownership, sales activity, employee capacity, targets, and revenue. Data access resolves to the user's own records, assigned team, or broader organization scope according to permission.</w:t>
      </w:r>
    </w:p>
    <w:p>
      <w:pPr>
        <w:pStyle w:val="Heading2"/>
        <w:keepNext/>
      </w:pPr>
      <w:r>
        <w:t>Geography and territory ownership</w:t>
      </w:r>
    </w:p>
    <w:p>
      <w:pPr>
        <w:keepLines/>
        <w:widowControl/>
        <w:spacing w:after="160"/>
      </w:pPr>
      <w:r>
        <w:rPr>
          <w:rFonts w:ascii="Aptos" w:hAnsi="Aptos"/>
          <w:color w:val="27313C"/>
        </w:rPr>
        <w:t>Sales leaders can model the markets they serve and assign responsibility without losing the connection to employees and performance.</w:t>
      </w:r>
    </w:p>
    <w:p>
      <w:pPr>
        <w:pStyle w:val="ListBullet"/>
        <w:keepLines/>
        <w:widowControl/>
        <w:spacing w:after="100"/>
        <w:ind w:left="317" w:hanging="216"/>
      </w:pPr>
      <w:r>
        <w:rPr>
          <w:rFonts w:ascii="Aptos" w:hAnsi="Aptos"/>
          <w:color w:val="27313C"/>
        </w:rPr>
        <w:t>Country and hierarchical geography views with map-based analysis</w:t>
      </w:r>
    </w:p>
    <w:p>
      <w:pPr>
        <w:pStyle w:val="ListBullet"/>
        <w:keepLines/>
        <w:widowControl/>
        <w:spacing w:after="100"/>
        <w:ind w:left="317" w:hanging="216"/>
      </w:pPr>
      <w:r>
        <w:rPr>
          <w:rFonts w:ascii="Aptos" w:hAnsi="Aptos"/>
          <w:color w:val="27313C"/>
        </w:rPr>
        <w:t>Territory creation, ownership, and employee assignments</w:t>
      </w:r>
    </w:p>
    <w:p>
      <w:pPr>
        <w:pStyle w:val="ListBullet"/>
        <w:keepLines/>
        <w:widowControl/>
        <w:spacing w:after="100"/>
        <w:ind w:left="317" w:hanging="216"/>
      </w:pPr>
      <w:r>
        <w:rPr>
          <w:rFonts w:ascii="Aptos" w:hAnsi="Aptos"/>
          <w:color w:val="27313C"/>
        </w:rPr>
        <w:t>Territory-level analytics, staffing visibility, and capacity context</w:t>
      </w:r>
    </w:p>
    <w:p>
      <w:pPr>
        <w:pStyle w:val="ListBullet"/>
        <w:keepLines/>
        <w:widowControl/>
        <w:spacing w:after="100"/>
        <w:ind w:left="317" w:hanging="216"/>
      </w:pPr>
      <w:r>
        <w:rPr>
          <w:rFonts w:ascii="Aptos" w:hAnsi="Aptos"/>
          <w:color w:val="27313C"/>
        </w:rPr>
        <w:t>Employee map views limited to the viewer's permitted scope</w:t>
      </w:r>
    </w:p>
    <w:p>
      <w:pPr>
        <w:pStyle w:val="Heading2"/>
        <w:keepNext/>
      </w:pPr>
      <w:r>
        <w:t>Sales workflow and analytics</w:t>
      </w:r>
    </w:p>
    <w:p>
      <w:pPr>
        <w:keepLines/>
        <w:widowControl/>
        <w:spacing w:after="160"/>
      </w:pPr>
      <w:r>
        <w:rPr>
          <w:rFonts w:ascii="Aptos" w:hAnsi="Aptos"/>
          <w:color w:val="27313C"/>
        </w:rPr>
        <w:t>Core commercial records share one operating flow from prospect activity through realized revenue.</w:t>
      </w:r>
    </w:p>
    <w:p>
      <w:pPr>
        <w:pStyle w:val="ListBullet"/>
        <w:keepLines/>
        <w:widowControl/>
        <w:spacing w:after="100"/>
        <w:ind w:left="317" w:hanging="216"/>
      </w:pPr>
      <w:r>
        <w:rPr>
          <w:rFonts w:ascii="Aptos" w:hAnsi="Aptos"/>
          <w:color w:val="27313C"/>
        </w:rPr>
        <w:t>Lead and customer records</w:t>
      </w:r>
    </w:p>
    <w:p>
      <w:pPr>
        <w:pStyle w:val="ListBullet"/>
        <w:keepLines/>
        <w:widowControl/>
        <w:spacing w:after="100"/>
        <w:ind w:left="317" w:hanging="216"/>
      </w:pPr>
      <w:r>
        <w:rPr>
          <w:rFonts w:ascii="Aptos" w:hAnsi="Aptos"/>
          <w:color w:val="27313C"/>
        </w:rPr>
        <w:t>Opportunity pipeline with stage and deal management</w:t>
      </w:r>
    </w:p>
    <w:p>
      <w:pPr>
        <w:pStyle w:val="ListBullet"/>
        <w:keepLines/>
        <w:widowControl/>
        <w:spacing w:after="100"/>
        <w:ind w:left="317" w:hanging="216"/>
      </w:pPr>
      <w:r>
        <w:rPr>
          <w:rFonts w:ascii="Aptos" w:hAnsi="Aptos"/>
          <w:color w:val="27313C"/>
        </w:rPr>
        <w:t>Employee and team targets, commitments, and performance views</w:t>
      </w:r>
    </w:p>
    <w:p>
      <w:pPr>
        <w:pStyle w:val="ListBullet"/>
        <w:keepLines/>
        <w:widowControl/>
        <w:spacing w:after="100"/>
        <w:ind w:left="317" w:hanging="216"/>
      </w:pPr>
      <w:r>
        <w:rPr>
          <w:rFonts w:ascii="Aptos" w:hAnsi="Aptos"/>
          <w:color w:val="27313C"/>
        </w:rPr>
        <w:t>Revenue transactions and trend reporting</w:t>
      </w:r>
    </w:p>
    <w:p>
      <w:pPr>
        <w:pStyle w:val="ListBullet"/>
        <w:keepLines/>
        <w:widowControl/>
        <w:spacing w:after="100"/>
        <w:ind w:left="317" w:hanging="216"/>
      </w:pPr>
      <w:r>
        <w:rPr>
          <w:rFonts w:ascii="Aptos" w:hAnsi="Aptos"/>
          <w:color w:val="27313C"/>
        </w:rPr>
        <w:t>Channel partner records and related commercial activity</w:t>
      </w:r>
    </w:p>
    <w:p>
      <w:pPr>
        <w:pStyle w:val="ListBullet"/>
        <w:keepLines/>
        <w:widowControl/>
        <w:spacing w:after="100"/>
        <w:ind w:left="317" w:hanging="216"/>
      </w:pPr>
      <w:r>
        <w:rPr>
          <w:rFonts w:ascii="Aptos" w:hAnsi="Aptos"/>
          <w:color w:val="27313C"/>
        </w:rPr>
        <w:t>Self, team, territory, geography, and organization-level analytics where permitted</w:t>
      </w:r>
    </w:p>
    <w:p>
      <w:r>
        <w:br w:type="page"/>
      </w:r>
    </w:p>
    <w:p>
      <w:pPr>
        <w:keepNext/>
        <w:spacing w:before="0" w:after="160"/>
      </w:pPr>
      <w:r>
        <w:rPr>
          <w:rFonts w:ascii="Aptos" w:hAnsi="Aptos"/>
          <w:b/>
          <w:color w:val="126DD8"/>
          <w:sz w:val="18"/>
        </w:rPr>
        <w:t>ASSISTANCE AND AUTOMATION</w:t>
      </w:r>
    </w:p>
    <w:p>
      <w:pPr>
        <w:pStyle w:val="Heading1"/>
        <w:keepNext/>
      </w:pPr>
      <w:r>
        <w:t>AI workspace and email workflows</w:t>
      </w:r>
    </w:p>
    <w:p>
      <w:pPr>
        <w:keepLines/>
        <w:widowControl/>
        <w:spacing w:after="160"/>
      </w:pPr>
      <w:r>
        <w:rPr>
          <w:rFonts w:ascii="Aptos" w:hAnsi="Aptos"/>
          <w:color w:val="27313C"/>
        </w:rPr>
        <w:t>Automation is designed to reduce repetitive preparation while keeping a person responsible for the decision. AI requests are scoped to the user's permissions, rate limited, and recorded for audit where appropriate.</w:t>
      </w:r>
    </w:p>
    <w:p>
      <w:pPr>
        <w:pStyle w:val="Heading2"/>
        <w:keepNext/>
      </w:pPr>
      <w:r>
        <w:t>Permission-aware AI workspace</w:t>
      </w:r>
    </w:p>
    <w:p>
      <w:pPr>
        <w:keepLines/>
        <w:widowControl/>
        <w:spacing w:after="160"/>
      </w:pPr>
      <w:r>
        <w:rPr>
          <w:rFonts w:ascii="Aptos" w:hAnsi="Aptos"/>
          <w:color w:val="27313C"/>
        </w:rPr>
        <w:t>The assistant can work with permitted workforce records and approved company knowledge to answer questions or prepare a draft for review.</w:t>
      </w:r>
    </w:p>
    <w:p>
      <w:pPr>
        <w:pStyle w:val="ListBullet"/>
        <w:keepLines/>
        <w:widowControl/>
        <w:spacing w:after="100"/>
        <w:ind w:left="317" w:hanging="216"/>
      </w:pPr>
      <w:r>
        <w:rPr>
          <w:rFonts w:ascii="Aptos" w:hAnsi="Aptos"/>
          <w:color w:val="27313C"/>
        </w:rPr>
        <w:t>Answers based on the records the signed-in user is allowed to access</w:t>
      </w:r>
    </w:p>
    <w:p>
      <w:pPr>
        <w:pStyle w:val="ListBullet"/>
        <w:keepLines/>
        <w:widowControl/>
        <w:spacing w:after="100"/>
        <w:ind w:left="317" w:hanging="216"/>
      </w:pPr>
      <w:r>
        <w:rPr>
          <w:rFonts w:ascii="Aptos" w:hAnsi="Aptos"/>
          <w:color w:val="27313C"/>
        </w:rPr>
        <w:t>Contribution and performance summary drafts linked to available evidence</w:t>
      </w:r>
    </w:p>
    <w:p>
      <w:pPr>
        <w:pStyle w:val="ListBullet"/>
        <w:keepLines/>
        <w:widowControl/>
        <w:spacing w:after="100"/>
        <w:ind w:left="317" w:hanging="216"/>
      </w:pPr>
      <w:r>
        <w:rPr>
          <w:rFonts w:ascii="Aptos" w:hAnsi="Aptos"/>
          <w:color w:val="27313C"/>
        </w:rPr>
        <w:t>Identification of missing information and pending review items</w:t>
      </w:r>
    </w:p>
    <w:p>
      <w:pPr>
        <w:pStyle w:val="ListBullet"/>
        <w:keepLines/>
        <w:widowControl/>
        <w:spacing w:after="100"/>
        <w:ind w:left="317" w:hanging="216"/>
      </w:pPr>
      <w:r>
        <w:rPr>
          <w:rFonts w:ascii="Aptos" w:hAnsi="Aptos"/>
          <w:color w:val="27313C"/>
        </w:rPr>
        <w:t>Provider configuration that supports several commercial AI services</w:t>
      </w:r>
    </w:p>
    <w:p>
      <w:pPr>
        <w:pStyle w:val="ListBullet"/>
        <w:keepLines/>
        <w:widowControl/>
        <w:spacing w:after="100"/>
        <w:ind w:left="317" w:hanging="216"/>
      </w:pPr>
      <w:r>
        <w:rPr>
          <w:rFonts w:ascii="Aptos" w:hAnsi="Aptos"/>
          <w:color w:val="27313C"/>
        </w:rPr>
        <w:t>Explicit exclusion of autonomous promotion, salary, disciplinary, and termination decisions</w:t>
      </w:r>
    </w:p>
    <w:p>
      <w:pPr>
        <w:pStyle w:val="Heading2"/>
        <w:keepNext/>
      </w:pPr>
      <w:r>
        <w:t>Consent-based email automation</w:t>
      </w:r>
    </w:p>
    <w:p>
      <w:pPr>
        <w:keepLines/>
        <w:widowControl/>
        <w:spacing w:after="160"/>
      </w:pPr>
      <w:r>
        <w:rPr>
          <w:rFonts w:ascii="Aptos" w:hAnsi="Aptos"/>
          <w:color w:val="27313C"/>
        </w:rPr>
        <w:t>Administrators can run reusable vendor outreach workflows while keeping delivery health and stop conditions visible.</w:t>
      </w:r>
    </w:p>
    <w:p>
      <w:pPr>
        <w:pStyle w:val="ListBullet"/>
        <w:keepLines/>
        <w:widowControl/>
        <w:spacing w:after="100"/>
        <w:ind w:left="317" w:hanging="216"/>
      </w:pPr>
      <w:r>
        <w:rPr>
          <w:rFonts w:ascii="Aptos" w:hAnsi="Aptos"/>
          <w:color w:val="27313C"/>
        </w:rPr>
        <w:t>Consented vendor contact lists and contact-status management</w:t>
      </w:r>
    </w:p>
    <w:p>
      <w:pPr>
        <w:pStyle w:val="ListBullet"/>
        <w:keepLines/>
        <w:widowControl/>
        <w:spacing w:after="100"/>
        <w:ind w:left="317" w:hanging="216"/>
      </w:pPr>
      <w:r>
        <w:rPr>
          <w:rFonts w:ascii="Aptos" w:hAnsi="Aptos"/>
          <w:color w:val="27313C"/>
        </w:rPr>
        <w:t>Reusable workflows, scheduled follow-ups, activation, and pause controls</w:t>
      </w:r>
    </w:p>
    <w:p>
      <w:pPr>
        <w:pStyle w:val="ListBullet"/>
        <w:keepLines/>
        <w:widowControl/>
        <w:spacing w:after="100"/>
        <w:ind w:left="317" w:hanging="216"/>
      </w:pPr>
      <w:r>
        <w:rPr>
          <w:rFonts w:ascii="Aptos" w:hAnsi="Aptos"/>
          <w:color w:val="27313C"/>
        </w:rPr>
        <w:t>Automatic stopping after a reply, unsubscribe, or delivery problem</w:t>
      </w:r>
    </w:p>
    <w:p>
      <w:pPr>
        <w:pStyle w:val="ListBullet"/>
        <w:keepLines/>
        <w:widowControl/>
        <w:spacing w:after="100"/>
        <w:ind w:left="317" w:hanging="216"/>
      </w:pPr>
      <w:r>
        <w:rPr>
          <w:rFonts w:ascii="Aptos" w:hAnsi="Aptos"/>
          <w:color w:val="27313C"/>
        </w:rPr>
        <w:t>Accepted, delivered, opened, clicked, bounced, and blocked delivery events</w:t>
      </w:r>
    </w:p>
    <w:p>
      <w:pPr>
        <w:pStyle w:val="ListBullet"/>
        <w:keepLines/>
        <w:widowControl/>
        <w:spacing w:after="100"/>
        <w:ind w:left="317" w:hanging="216"/>
      </w:pPr>
      <w:r>
        <w:rPr>
          <w:rFonts w:ascii="Aptos" w:hAnsi="Aptos"/>
          <w:color w:val="27313C"/>
        </w:rPr>
        <w:t>Brevo connection testing, webhook registration, and delivery history</w:t>
      </w:r>
    </w:p>
    <w:p>
      <w:r>
        <w:br w:type="page"/>
      </w:r>
    </w:p>
    <w:p>
      <w:pPr>
        <w:keepNext/>
        <w:spacing w:before="0" w:after="160"/>
      </w:pPr>
      <w:r>
        <w:rPr>
          <w:rFonts w:ascii="Aptos" w:hAnsi="Aptos"/>
          <w:b/>
          <w:color w:val="126DD8"/>
          <w:sz w:val="18"/>
        </w:rPr>
        <w:t>OPERATIONAL CONTROLS</w:t>
      </w:r>
    </w:p>
    <w:p>
      <w:pPr>
        <w:pStyle w:val="Heading1"/>
        <w:keepNext/>
      </w:pPr>
      <w:r>
        <w:t>Security administration and tenant isolation</w:t>
      </w:r>
    </w:p>
    <w:p>
      <w:pPr>
        <w:keepLines/>
        <w:widowControl/>
        <w:spacing w:after="160"/>
      </w:pPr>
      <w:r>
        <w:rPr>
          <w:rFonts w:ascii="Aptos" w:hAnsi="Aptos"/>
          <w:color w:val="27313C"/>
        </w:rPr>
        <w:t>MobiusEMS applies identity, permission, and organization boundaries on the server as well as in the interface. These controls are part of the application workflow, not optional presentation settings.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376"/>
            <w:shd w:fill="16345C"/>
            <w:tcMar>
              <w:top w:w="125" w:type="dxa"/>
              <w:start w:w="150" w:type="dxa"/>
              <w:bottom w:w="125" w:type="dxa"/>
              <w:end w:w="150" w:type="dxa"/>
            </w:tcMar>
            <w:vAlign w:val="center"/>
          </w:tcPr>
          <w:p>
            <w:pPr>
              <w:spacing w:after="0"/>
              <w:jc w:val="left"/>
            </w:pPr>
            <w:r>
              <w:rPr>
                <w:rFonts w:ascii="Aptos" w:hAnsi="Aptos"/>
                <w:b/>
                <w:color w:val="FFFFFF"/>
                <w:sz w:val="19"/>
              </w:rPr>
              <w:t>Control area</w:t>
            </w:r>
          </w:p>
        </w:tc>
        <w:tc>
          <w:tcPr>
            <w:tcW w:type="dxa" w:w="7416"/>
            <w:shd w:fill="16345C"/>
            <w:tcMar>
              <w:top w:w="125" w:type="dxa"/>
              <w:start w:w="150" w:type="dxa"/>
              <w:bottom w:w="125" w:type="dxa"/>
              <w:end w:w="150" w:type="dxa"/>
            </w:tcMar>
            <w:vAlign w:val="center"/>
          </w:tcPr>
          <w:p>
            <w:pPr>
              <w:spacing w:after="0"/>
              <w:jc w:val="left"/>
            </w:pPr>
            <w:r>
              <w:rPr>
                <w:rFonts w:ascii="Aptos" w:hAnsi="Aptos"/>
                <w:b/>
                <w:color w:val="FFFFFF"/>
                <w:sz w:val="19"/>
              </w:rPr>
              <w:t>How MobiusEMS handles it</w:t>
            </w:r>
          </w:p>
        </w:tc>
      </w:tr>
      <w:tr>
        <w:tc>
          <w:tcPr>
            <w:tcW w:type="dxa" w:w="2376"/>
            <w:tcMar>
              <w:top w:w="115" w:type="dxa"/>
              <w:start w:w="150" w:type="dxa"/>
              <w:bottom w:w="115" w:type="dxa"/>
              <w:end w:w="150" w:type="dxa"/>
            </w:tcMar>
            <w:vAlign w:val="center"/>
          </w:tcPr>
          <w:p>
            <w:pPr>
              <w:spacing w:after="0" w:line="252" w:lineRule="auto"/>
            </w:pPr>
            <w:r>
              <w:rPr>
                <w:rFonts w:ascii="Aptos" w:hAnsi="Aptos"/>
                <w:b/>
                <w:color w:val="27313C"/>
                <w:sz w:val="18"/>
              </w:rPr>
              <w:t>Account access</w:t>
            </w:r>
          </w:p>
        </w:tc>
        <w:tc>
          <w:tcPr>
            <w:tcW w:type="dxa" w:w="7416"/>
            <w:tcMar>
              <w:top w:w="115" w:type="dxa"/>
              <w:start w:w="150" w:type="dxa"/>
              <w:bottom w:w="115" w:type="dxa"/>
              <w:end w:w="150" w:type="dxa"/>
            </w:tcMar>
            <w:vAlign w:val="center"/>
          </w:tcPr>
          <w:p>
            <w:pPr>
              <w:spacing w:after="0" w:line="252" w:lineRule="auto"/>
            </w:pPr>
            <w:r>
              <w:rPr>
                <w:rFonts w:ascii="Aptos" w:hAnsi="Aptos"/>
                <w:b w:val="0"/>
                <w:color w:val="27313C"/>
                <w:sz w:val="18"/>
              </w:rPr>
              <w:t>Invitation-led account creation, temporary credentials, mandatory password replacement, and resumable onboarding</w:t>
            </w:r>
          </w:p>
        </w:tc>
      </w:tr>
      <w:tr>
        <w:tc>
          <w:tcPr>
            <w:tcW w:type="dxa" w:w="2376"/>
            <w:tcMar>
              <w:top w:w="115" w:type="dxa"/>
              <w:start w:w="150" w:type="dxa"/>
              <w:bottom w:w="115" w:type="dxa"/>
              <w:end w:w="150" w:type="dxa"/>
            </w:tcMar>
            <w:vAlign w:val="center"/>
            <w:shd w:fill="EEF5FC"/>
          </w:tcPr>
          <w:p>
            <w:pPr>
              <w:spacing w:after="0" w:line="252" w:lineRule="auto"/>
            </w:pPr>
            <w:r>
              <w:rPr>
                <w:rFonts w:ascii="Aptos" w:hAnsi="Aptos"/>
                <w:b/>
                <w:color w:val="27313C"/>
                <w:sz w:val="18"/>
              </w:rPr>
              <w:t>Sessions</w:t>
            </w:r>
          </w:p>
        </w:tc>
        <w:tc>
          <w:tcPr>
            <w:tcW w:type="dxa" w:w="7416"/>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HttpOnly authentication cookies, rotating refresh sessions, session-family invalidation, and secure production cookie settings</w:t>
            </w:r>
          </w:p>
        </w:tc>
      </w:tr>
      <w:tr>
        <w:tc>
          <w:tcPr>
            <w:tcW w:type="dxa" w:w="2376"/>
            <w:tcMar>
              <w:top w:w="115" w:type="dxa"/>
              <w:start w:w="150" w:type="dxa"/>
              <w:bottom w:w="115" w:type="dxa"/>
              <w:end w:w="150" w:type="dxa"/>
            </w:tcMar>
            <w:vAlign w:val="center"/>
          </w:tcPr>
          <w:p>
            <w:pPr>
              <w:spacing w:after="0" w:line="252" w:lineRule="auto"/>
            </w:pPr>
            <w:r>
              <w:rPr>
                <w:rFonts w:ascii="Aptos" w:hAnsi="Aptos"/>
                <w:b/>
                <w:color w:val="27313C"/>
                <w:sz w:val="18"/>
              </w:rPr>
              <w:t>Authorization</w:t>
            </w:r>
          </w:p>
        </w:tc>
        <w:tc>
          <w:tcPr>
            <w:tcW w:type="dxa" w:w="7416"/>
            <w:tcMar>
              <w:top w:w="115" w:type="dxa"/>
              <w:start w:w="150" w:type="dxa"/>
              <w:bottom w:w="115" w:type="dxa"/>
              <w:end w:w="150" w:type="dxa"/>
            </w:tcMar>
            <w:vAlign w:val="center"/>
          </w:tcPr>
          <w:p>
            <w:pPr>
              <w:spacing w:after="0" w:line="252" w:lineRule="auto"/>
            </w:pPr>
            <w:r>
              <w:rPr>
                <w:rFonts w:ascii="Aptos" w:hAnsi="Aptos"/>
                <w:b w:val="0"/>
                <w:color w:val="27313C"/>
                <w:sz w:val="18"/>
              </w:rPr>
              <w:t>Database-backed roles and permissions with employee, manager, department, team, sales, and platform scopes</w:t>
            </w:r>
          </w:p>
        </w:tc>
      </w:tr>
      <w:tr>
        <w:tc>
          <w:tcPr>
            <w:tcW w:type="dxa" w:w="2376"/>
            <w:tcMar>
              <w:top w:w="115" w:type="dxa"/>
              <w:start w:w="150" w:type="dxa"/>
              <w:bottom w:w="115" w:type="dxa"/>
              <w:end w:w="150" w:type="dxa"/>
            </w:tcMar>
            <w:vAlign w:val="center"/>
            <w:shd w:fill="EEF5FC"/>
          </w:tcPr>
          <w:p>
            <w:pPr>
              <w:spacing w:after="0" w:line="252" w:lineRule="auto"/>
            </w:pPr>
            <w:r>
              <w:rPr>
                <w:rFonts w:ascii="Aptos" w:hAnsi="Aptos"/>
                <w:b/>
                <w:color w:val="27313C"/>
                <w:sz w:val="18"/>
              </w:rPr>
              <w:t>Tenant separation</w:t>
            </w:r>
          </w:p>
        </w:tc>
        <w:tc>
          <w:tcPr>
            <w:tcW w:type="dxa" w:w="7416"/>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Separate organization workspaces with tenant-aware data access, provisioning, suspension, and migration support</w:t>
            </w:r>
          </w:p>
        </w:tc>
      </w:tr>
      <w:tr>
        <w:tc>
          <w:tcPr>
            <w:tcW w:type="dxa" w:w="2376"/>
            <w:tcMar>
              <w:top w:w="115" w:type="dxa"/>
              <w:start w:w="150" w:type="dxa"/>
              <w:bottom w:w="115" w:type="dxa"/>
              <w:end w:w="150" w:type="dxa"/>
            </w:tcMar>
            <w:vAlign w:val="center"/>
          </w:tcPr>
          <w:p>
            <w:pPr>
              <w:spacing w:after="0" w:line="252" w:lineRule="auto"/>
            </w:pPr>
            <w:r>
              <w:rPr>
                <w:rFonts w:ascii="Aptos" w:hAnsi="Aptos"/>
                <w:b/>
                <w:color w:val="27313C"/>
                <w:sz w:val="18"/>
              </w:rPr>
              <w:t>Sensitive files</w:t>
            </w:r>
          </w:p>
        </w:tc>
        <w:tc>
          <w:tcPr>
            <w:tcW w:type="dxa" w:w="7416"/>
            <w:tcMar>
              <w:top w:w="115" w:type="dxa"/>
              <w:start w:w="150" w:type="dxa"/>
              <w:bottom w:w="115" w:type="dxa"/>
              <w:end w:w="150" w:type="dxa"/>
            </w:tcMar>
            <w:vAlign w:val="center"/>
          </w:tcPr>
          <w:p>
            <w:pPr>
              <w:spacing w:after="0" w:line="252" w:lineRule="auto"/>
            </w:pPr>
            <w:r>
              <w:rPr>
                <w:rFonts w:ascii="Aptos" w:hAnsi="Aptos"/>
                <w:b w:val="0"/>
                <w:color w:val="27313C"/>
                <w:sz w:val="18"/>
              </w:rPr>
              <w:t>Authenticated storage, randomized object keys, file validation, signed retrieval links, and backend access checks</w:t>
            </w:r>
          </w:p>
        </w:tc>
      </w:tr>
      <w:tr>
        <w:tc>
          <w:tcPr>
            <w:tcW w:type="dxa" w:w="2376"/>
            <w:tcMar>
              <w:top w:w="115" w:type="dxa"/>
              <w:start w:w="150" w:type="dxa"/>
              <w:bottom w:w="115" w:type="dxa"/>
              <w:end w:w="150" w:type="dxa"/>
            </w:tcMar>
            <w:vAlign w:val="center"/>
            <w:shd w:fill="EEF5FC"/>
          </w:tcPr>
          <w:p>
            <w:pPr>
              <w:spacing w:after="0" w:line="252" w:lineRule="auto"/>
            </w:pPr>
            <w:r>
              <w:rPr>
                <w:rFonts w:ascii="Aptos" w:hAnsi="Aptos"/>
                <w:b/>
                <w:color w:val="27313C"/>
                <w:sz w:val="18"/>
              </w:rPr>
              <w:t>Auditability</w:t>
            </w:r>
          </w:p>
        </w:tc>
        <w:tc>
          <w:tcPr>
            <w:tcW w:type="dxa" w:w="7416"/>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Sensitive actions, confirmed voice commands, and AI activity recorded for authorized review</w:t>
            </w:r>
          </w:p>
        </w:tc>
      </w:tr>
      <w:tr>
        <w:tc>
          <w:tcPr>
            <w:tcW w:type="dxa" w:w="2376"/>
            <w:tcMar>
              <w:top w:w="115" w:type="dxa"/>
              <w:start w:w="150" w:type="dxa"/>
              <w:bottom w:w="115" w:type="dxa"/>
              <w:end w:w="150" w:type="dxa"/>
            </w:tcMar>
            <w:vAlign w:val="center"/>
          </w:tcPr>
          <w:p>
            <w:pPr>
              <w:spacing w:after="0" w:line="252" w:lineRule="auto"/>
            </w:pPr>
            <w:r>
              <w:rPr>
                <w:rFonts w:ascii="Aptos" w:hAnsi="Aptos"/>
                <w:b/>
                <w:color w:val="27313C"/>
                <w:sz w:val="18"/>
              </w:rPr>
              <w:t>Application protection</w:t>
            </w:r>
          </w:p>
        </w:tc>
        <w:tc>
          <w:tcPr>
            <w:tcW w:type="dxa" w:w="7416"/>
            <w:tcMar>
              <w:top w:w="115" w:type="dxa"/>
              <w:start w:w="150" w:type="dxa"/>
              <w:bottom w:w="115" w:type="dxa"/>
              <w:end w:w="150" w:type="dxa"/>
            </w:tcMar>
            <w:vAlign w:val="center"/>
          </w:tcPr>
          <w:p>
            <w:pPr>
              <w:spacing w:after="0" w:line="252" w:lineRule="auto"/>
            </w:pPr>
            <w:r>
              <w:rPr>
                <w:rFonts w:ascii="Aptos" w:hAnsi="Aptos"/>
                <w:b w:val="0"/>
                <w:color w:val="27313C"/>
                <w:sz w:val="18"/>
              </w:rPr>
              <w:t>Request validation, restricted origins, rate limiting, security headers, and production-safe error responses</w:t>
            </w:r>
          </w:p>
        </w:tc>
      </w:tr>
      <w:tr>
        <w:tc>
          <w:tcPr>
            <w:tcW w:type="dxa" w:w="2376"/>
            <w:tcMar>
              <w:top w:w="115" w:type="dxa"/>
              <w:start w:w="150" w:type="dxa"/>
              <w:bottom w:w="115" w:type="dxa"/>
              <w:end w:w="150" w:type="dxa"/>
            </w:tcMar>
            <w:vAlign w:val="center"/>
            <w:shd w:fill="EEF5FC"/>
          </w:tcPr>
          <w:p>
            <w:pPr>
              <w:spacing w:after="0" w:line="252" w:lineRule="auto"/>
            </w:pPr>
            <w:r>
              <w:rPr>
                <w:rFonts w:ascii="Aptos" w:hAnsi="Aptos"/>
                <w:b/>
                <w:color w:val="27313C"/>
                <w:sz w:val="18"/>
              </w:rPr>
              <w:t>Operations</w:t>
            </w:r>
          </w:p>
        </w:tc>
        <w:tc>
          <w:tcPr>
            <w:tcW w:type="dxa" w:w="7416"/>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Backup job support, tenant preflight checks, migration verification, and environment-based configuration</w:t>
            </w:r>
          </w:p>
        </w:tc>
      </w:tr>
    </w:tbl>
    <w:p>
      <w:pPr>
        <w:spacing w:after="20"/>
      </w:pPr>
    </w:p>
    <w:p>
      <w:pPr>
        <w:keepLines/>
        <w:widowControl/>
        <w:spacing w:after="160"/>
      </w:pPr>
      <w:r>
        <w:rPr>
          <w:rFonts w:ascii="Aptos" w:hAnsi="Aptos"/>
          <w:color w:val="27313C"/>
        </w:rPr>
        <w:t>Feature visibility depends on the permissions and optional capabilities enabled for each organization. This allows a client to begin with core workforce operations and extend access as teams and governance needs mature.</w:t>
      </w:r>
    </w:p>
    <w:p>
      <w:r>
        <w:br w:type="page"/>
      </w:r>
    </w:p>
    <w:p>
      <w:pPr>
        <w:keepNext/>
        <w:spacing w:before="0" w:after="160"/>
      </w:pPr>
      <w:r>
        <w:rPr>
          <w:rFonts w:ascii="Aptos" w:hAnsi="Aptos"/>
          <w:b/>
          <w:color w:val="126DD8"/>
          <w:sz w:val="18"/>
        </w:rPr>
        <w:t>CONNECTED WORKFLOW</w:t>
      </w:r>
    </w:p>
    <w:p>
      <w:pPr>
        <w:pStyle w:val="Heading1"/>
        <w:keepNext/>
      </w:pPr>
      <w:r>
        <w:t>How the platform works together</w:t>
      </w:r>
    </w:p>
    <w:p>
      <w:pPr>
        <w:keepLines/>
        <w:widowControl/>
        <w:spacing w:after="160"/>
      </w:pPr>
      <w:r>
        <w:rPr>
          <w:rFonts w:ascii="Aptos" w:hAnsi="Aptos"/>
          <w:color w:val="27313C"/>
        </w:rPr>
        <w:t>The main value of MobiusEMS comes from the relationships between records. A change made in one workflow remains useful elsewhere without requiring a separate spreadsheet or status report.</w:t>
      </w:r>
    </w:p>
    <w:p>
      <w:pPr>
        <w:pStyle w:val="ListNumber"/>
        <w:keepLines/>
        <w:widowControl/>
        <w:spacing w:after="140"/>
        <w:ind w:left="374" w:hanging="259"/>
      </w:pPr>
      <w:r>
        <w:rPr>
          <w:rFonts w:ascii="Aptos" w:hAnsi="Aptos"/>
          <w:color w:val="27313C"/>
        </w:rPr>
        <w:t>An administrator creates the organization structure, assigns roles, and invites employees into the correct department, team, and designation.</w:t>
      </w:r>
    </w:p>
    <w:p>
      <w:pPr>
        <w:pStyle w:val="ListNumber"/>
        <w:keepLines/>
        <w:widowControl/>
        <w:spacing w:after="140"/>
        <w:ind w:left="374" w:hanging="259"/>
      </w:pPr>
      <w:r>
        <w:rPr>
          <w:rFonts w:ascii="Aptos" w:hAnsi="Aptos"/>
          <w:color w:val="27313C"/>
        </w:rPr>
        <w:t>The employee completes onboarding, maintains a profile, documents skills, and receives work, goals, KPIs, or training according to the role.</w:t>
      </w:r>
    </w:p>
    <w:p>
      <w:pPr>
        <w:pStyle w:val="ListNumber"/>
        <w:keepLines/>
        <w:widowControl/>
        <w:spacing w:after="140"/>
        <w:ind w:left="374" w:hanging="259"/>
      </w:pPr>
      <w:r>
        <w:rPr>
          <w:rFonts w:ascii="Aptos" w:hAnsi="Aptos"/>
          <w:color w:val="27313C"/>
        </w:rPr>
        <w:t>Projects and tasks collect delivery updates, blockers, time, evidence, quality review, and activity history as work progresses.</w:t>
      </w:r>
    </w:p>
    <w:p>
      <w:pPr>
        <w:pStyle w:val="ListNumber"/>
        <w:keepLines/>
        <w:widowControl/>
        <w:spacing w:after="140"/>
        <w:ind w:left="374" w:hanging="259"/>
      </w:pPr>
      <w:r>
        <w:rPr>
          <w:rFonts w:ascii="Aptos" w:hAnsi="Aptos"/>
          <w:color w:val="27313C"/>
        </w:rPr>
        <w:t>Attendance, leave, weekly outcomes, one-to-one notes, and support requests add operational context without replacing the underlying work record.</w:t>
      </w:r>
    </w:p>
    <w:p>
      <w:pPr>
        <w:pStyle w:val="ListNumber"/>
        <w:keepLines/>
        <w:widowControl/>
        <w:spacing w:after="140"/>
        <w:ind w:left="374" w:hanging="259"/>
      </w:pPr>
      <w:r>
        <w:rPr>
          <w:rFonts w:ascii="Aptos" w:hAnsi="Aptos"/>
          <w:color w:val="27313C"/>
        </w:rPr>
        <w:t>Managers review performance and contribution using visible inputs and deterministic calculations. AI can prepare a draft summary, but the manager remains responsible for the review.</w:t>
      </w:r>
    </w:p>
    <w:p>
      <w:pPr>
        <w:pStyle w:val="ListNumber"/>
        <w:keepLines/>
        <w:widowControl/>
        <w:spacing w:after="140"/>
        <w:ind w:left="374" w:hanging="259"/>
      </w:pPr>
      <w:r>
        <w:rPr>
          <w:rFonts w:ascii="Aptos" w:hAnsi="Aptos"/>
          <w:color w:val="27313C"/>
        </w:rPr>
        <w:t>For commercial teams, territory assignments connect employees to leads, customers, opportunities, targets, revenue, and geographic analytics within the same permission model.</w:t>
      </w:r>
    </w:p>
    <w:p>
      <w:pPr>
        <w:pStyle w:val="ListNumber"/>
        <w:keepLines/>
        <w:widowControl/>
        <w:spacing w:after="140"/>
        <w:ind w:left="374" w:hanging="259"/>
      </w:pPr>
      <w:r>
        <w:rPr>
          <w:rFonts w:ascii="Aptos" w:hAnsi="Aptos"/>
          <w:color w:val="27313C"/>
        </w:rPr>
        <w:t>Reports, notifications, search, and audit records help authorized users follow up without exposing information outside their scope.</w:t>
      </w:r>
    </w:p>
    <w:p>
      <w:pPr>
        <w:pStyle w:val="Heading2"/>
        <w:keepNext/>
      </w:pPr>
      <w:r>
        <w:t>Deployment fit</w:t>
      </w:r>
    </w:p>
    <w:p>
      <w:pPr>
        <w:keepLines/>
        <w:widowControl/>
        <w:spacing w:after="160"/>
      </w:pPr>
      <w:r>
        <w:rPr>
          <w:rFonts w:ascii="Aptos" w:hAnsi="Aptos"/>
          <w:color w:val="27313C"/>
        </w:rPr>
        <w:t>MobiusEMS is delivered as a browser-based application with a React and TypeScript client, a Node.js API, and MongoDB persistence. It can use authenticated cloud storage for private files, a configured AI provider for advisory features, Brevo for email automation, and local speech transcription for voice tasks. Each integration is configured through the deployment environment so credentials stay outside the source code.</w:t>
      </w:r>
    </w:p>
    <w:p>
      <w:pPr>
        <w:pStyle w:val="Heading2"/>
        <w:keepNext/>
      </w:pPr>
      <w:r>
        <w:t>Product discussion</w:t>
      </w:r>
    </w:p>
    <w:p>
      <w:pPr>
        <w:keepLines/>
        <w:widowControl/>
        <w:spacing w:after="160"/>
      </w:pPr>
      <w:r>
        <w:rPr>
          <w:rFonts w:ascii="Aptos" w:hAnsi="Aptos"/>
          <w:color w:val="27313C"/>
        </w:rPr>
        <w:t>A product walkthrough can be tailored to the client's workforce structure, access model, attendance approach, review process, and sales operations. This makes it possible to confirm which modules should be enabled first and which permissions each group requires.</w:t>
      </w:r>
    </w:p>
    <w:sectPr>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5A6573"/>
        <w:sz w:val="17"/>
      </w:rPr>
      <w:t>MobiusEMS Feature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ptos" w:hAnsi="Aptos"/>
      <w:color w:val="2731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2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MobiusEMS Feature Overview</dc:title>
  <dc:subject>Client facing product feature documentation</dc:subject>
  <dc:creator/>
  <cp:keywords>MobiusEMS, employee management, workforce operations, sales intelligence</cp:keywords>
  <dc:description>generated by python-docx</dc:description>
  <cp:lastModifiedBy/>
  <cp:revision>1</cp:revision>
  <dcterms:created xsi:type="dcterms:W3CDTF">2013-12-23T23:15:00Z</dcterms:created>
  <dcterms:modified xsi:type="dcterms:W3CDTF">2013-12-23T23:15:00Z</dcterms:modified>
  <cp:category/>
</cp:coreProperties>
</file>