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 w:line="240" w:lineRule="auto"/>
        <w:shd w:val="clear" w:color="auto" w:fill="003399"/>
        <w:pBdr>
          <w:bottom w:val="single" w:sz="18" w:space="0" w:color="FFCC00"/>
        </w:pBdr>
      </w:pPr>
      <w:r>
        <w:t xml:space="preserve"> </w:t>
      </w:r>
    </w:p>
    <w:p>
      <w:pPr>
        <w:spacing w:after="160"/>
        <w:jc w:val="center"/>
      </w:pPr>
      <w:r>
        <w:rPr>
          <w:rFonts w:ascii="Arial" w:hAnsi="Arial" w:eastAsia="Arial" w:cs="Arial"/>
          <w:b/>
          <w:color w:val="003399"/>
          <w:sz w:val="24"/>
        </w:rPr>
        <w:t>HORIZON EUROPE</w:t>
      </w:r>
    </w:p>
    <w:p>
      <w:pPr>
        <w:spacing w:after="720"/>
        <w:jc w:val="center"/>
      </w:pPr>
      <w:r>
        <w:rPr>
          <w:rFonts w:ascii="Arial" w:hAnsi="Arial" w:eastAsia="Arial" w:cs="Arial"/>
          <w:b/>
          <w:color w:val="4B5563"/>
          <w:sz w:val="20"/>
        </w:rPr>
        <w:t>Part B</w:t>
      </w:r>
    </w:p>
    <w:p>
      <w:pPr>
        <w:spacing w:after="160"/>
        <w:jc w:val="center"/>
      </w:pPr>
      <w:r>
        <w:rPr>
          <w:rFonts w:ascii="Arial" w:hAnsi="Arial" w:eastAsia="Arial" w:cs="Arial"/>
          <w:b/>
          <w:color w:val="003399"/>
          <w:sz w:val="50"/>
        </w:rPr>
        <w:t>AGRO-THRIVE: Balancing food security, bioeconomy, climate and biodiversity</w:t>
      </w:r>
    </w:p>
    <w:p>
      <w:pPr>
        <w:spacing w:after="600"/>
        <w:jc w:val="center"/>
      </w:pPr>
      <w:r>
        <w:rPr>
          <w:rFonts w:ascii="Arial" w:hAnsi="Arial" w:eastAsia="Arial" w:cs="Arial"/>
          <w:b/>
          <w:color w:val="111827"/>
          <w:sz w:val="34"/>
        </w:rPr>
        <w:t>AGRO-THRIVE</w:t>
      </w:r>
    </w:p>
    <w:tbl>
      <w:tblPr>
        <w:tblW w:type="dxa" w:w="9688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2250"/>
        <w:gridCol w:w="7438"/>
      </w:tblGrid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0FA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03399"/>
                <w:sz w:val="19"/>
              </w:rPr>
              <w:t>Call / topic</w:t>
            </w:r>
          </w:p>
        </w:tc>
        <w:tc>
          <w:tcPr>
            <w:tcW w:type="dxa" w:w="7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111827"/>
                <w:sz w:val="19"/>
              </w:rPr>
              <w:t>HORIZON-CL6-2026-01-CIRCBIO-09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0FA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03399"/>
                <w:sz w:val="19"/>
              </w:rPr>
              <w:t>Type of action</w:t>
            </w:r>
          </w:p>
        </w:tc>
        <w:tc>
          <w:tcPr>
            <w:tcW w:type="dxa" w:w="7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111827"/>
                <w:sz w:val="19"/>
              </w:rPr>
              <w:t>Research and Innovation Action (RIA)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0FA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03399"/>
                <w:sz w:val="19"/>
              </w:rPr>
              <w:t>Consortium</w:t>
            </w:r>
          </w:p>
        </w:tc>
        <w:tc>
          <w:tcPr>
            <w:tcW w:type="dxa" w:w="7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111827"/>
                <w:sz w:val="19"/>
              </w:rPr>
              <w:t>AGRO-THRIVE Consortium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0FA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03399"/>
                <w:sz w:val="19"/>
              </w:rPr>
              <w:t>Version</w:t>
            </w:r>
          </w:p>
        </w:tc>
        <w:tc>
          <w:tcPr>
            <w:tcW w:type="dxa" w:w="7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111827"/>
                <w:sz w:val="19"/>
              </w:rPr>
              <w:t>DOCX renderer validation sample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0FA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03399"/>
                <w:sz w:val="19"/>
              </w:rPr>
              <w:t>Date</w:t>
            </w:r>
          </w:p>
        </w:tc>
        <w:tc>
          <w:tcPr>
            <w:tcW w:type="dxa" w:w="7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111827"/>
                <w:sz w:val="19"/>
              </w:rPr>
              <w:t>2026-07-28</w:t>
            </w:r>
          </w:p>
        </w:tc>
      </w:tr>
    </w:tbl>
    <w:p>
      <w:pPr>
        <w:spacing w:before="480" w:after="0"/>
        <w:jc w:val="center"/>
      </w:pPr>
      <w:r>
        <w:rPr>
          <w:rFonts w:ascii="Arial" w:hAnsi="Arial" w:eastAsia="Arial" w:cs="Arial"/>
          <w:b/>
          <w:color w:val="4B5563"/>
          <w:sz w:val="18"/>
        </w:rPr>
        <w:t>Confidential</w:t>
      </w:r>
    </w:p>
    <w:p>
      <w:r>
        <w:br w:type="page"/>
      </w:r>
    </w:p>
    <w:p>
      <w:pPr>
        <w:pStyle w:val="ProposalTOCHeading"/>
        <w:pBdr>
          <w:bottom w:val="single" w:sz="12" w:space="4" w:color="003399"/>
        </w:pBdr>
      </w:pPr>
      <w:r>
        <w:t>Table of contents</w:t>
      </w:r>
    </w:p>
    <w:tbl>
      <w:tblPr>
        <w:tblW w:type="dxa" w:w="9688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500"/>
        <w:gridCol w:w="1188"/>
      </w:tblGrid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ind w:left="0"/>
            </w:pPr>
            <w:hyperlink w:anchor="section_1_excellence" w:history="1">
              <w:r>
                <w:rPr>
                  <w:color w:val="111827"/>
                  <w:sz w:val="20"/>
                  <w:b/>
                </w:rPr>
                <w:t>1. Excellence</w:t>
              </w:r>
            </w:hyperlink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Arial" w:hAnsi="Arial" w:eastAsia="Arial" w:cs="Arial"/>
                <w:b/>
                <w:color w:val="111827"/>
                <w:sz w:val="20"/>
              </w:rPr>
              <w:t>3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ind w:left="283"/>
            </w:pPr>
            <w:hyperlink w:anchor="section_1_1_objectives_and_ambition" w:history="1">
              <w:r>
                <w:rPr>
                  <w:color w:val="111827"/>
                  <w:sz w:val="19"/>
                </w:rPr>
                <w:t>1.1 Objectives and ambition</w:t>
              </w:r>
            </w:hyperlink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Arial" w:hAnsi="Arial" w:eastAsia="Arial" w:cs="Arial"/>
                <w:b w:val="0"/>
                <w:color w:val="111827"/>
                <w:sz w:val="18"/>
              </w:rPr>
              <w:t>3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ind w:left="283"/>
            </w:pPr>
            <w:hyperlink w:anchor="section_1_2_state_of_the_art_and_progress_beyo" w:history="1">
              <w:r>
                <w:rPr>
                  <w:color w:val="111827"/>
                  <w:sz w:val="19"/>
                </w:rPr>
                <w:t>1.2 State of the art and progress beyond it</w:t>
              </w:r>
            </w:hyperlink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Arial" w:hAnsi="Arial" w:eastAsia="Arial" w:cs="Arial"/>
                <w:b w:val="0"/>
                <w:color w:val="111827"/>
                <w:sz w:val="18"/>
              </w:rPr>
              <w:t>3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ind w:left="283"/>
            </w:pPr>
            <w:hyperlink w:anchor="section_1_3_methodology" w:history="1">
              <w:r>
                <w:rPr>
                  <w:color w:val="111827"/>
                  <w:sz w:val="19"/>
                </w:rPr>
                <w:t>1.3 Methodology</w:t>
              </w:r>
            </w:hyperlink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Arial" w:hAnsi="Arial" w:eastAsia="Arial" w:cs="Arial"/>
                <w:b w:val="0"/>
                <w:color w:val="111827"/>
                <w:sz w:val="18"/>
              </w:rPr>
              <w:t>3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ind w:left="0"/>
            </w:pPr>
            <w:hyperlink w:anchor="section_2_impact" w:history="1">
              <w:r>
                <w:rPr>
                  <w:color w:val="111827"/>
                  <w:sz w:val="20"/>
                  <w:b/>
                </w:rPr>
                <w:t>2. Impact</w:t>
              </w:r>
            </w:hyperlink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Arial" w:hAnsi="Arial" w:eastAsia="Arial" w:cs="Arial"/>
                <w:b/>
                <w:color w:val="111827"/>
                <w:sz w:val="20"/>
              </w:rPr>
              <w:t>4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ind w:left="283"/>
            </w:pPr>
            <w:hyperlink w:anchor="section_2_1_pathways_towards_impact" w:history="1">
              <w:r>
                <w:rPr>
                  <w:color w:val="111827"/>
                  <w:sz w:val="19"/>
                </w:rPr>
                <w:t>2.1 Pathways towards impact</w:t>
              </w:r>
            </w:hyperlink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Arial" w:hAnsi="Arial" w:eastAsia="Arial" w:cs="Arial"/>
                <w:b w:val="0"/>
                <w:color w:val="111827"/>
                <w:sz w:val="18"/>
              </w:rPr>
              <w:t>4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ind w:left="283"/>
            </w:pPr>
            <w:hyperlink w:anchor="section_2_2_measures_to_maximise_impact" w:history="1">
              <w:r>
                <w:rPr>
                  <w:color w:val="111827"/>
                  <w:sz w:val="19"/>
                </w:rPr>
                <w:t>2.2 Measures to maximise impact</w:t>
              </w:r>
            </w:hyperlink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Arial" w:hAnsi="Arial" w:eastAsia="Arial" w:cs="Arial"/>
                <w:b w:val="0"/>
                <w:color w:val="111827"/>
                <w:sz w:val="18"/>
              </w:rPr>
              <w:t>4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ind w:left="0"/>
            </w:pPr>
            <w:hyperlink w:anchor="section_3_quality_and_efficiency_of_implementa" w:history="1">
              <w:r>
                <w:rPr>
                  <w:color w:val="111827"/>
                  <w:sz w:val="20"/>
                  <w:b/>
                </w:rPr>
                <w:t>3. Quality and efficiency of implementation</w:t>
              </w:r>
            </w:hyperlink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Arial" w:hAnsi="Arial" w:eastAsia="Arial" w:cs="Arial"/>
                <w:b/>
                <w:color w:val="111827"/>
                <w:sz w:val="20"/>
              </w:rPr>
              <w:t>5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ind w:left="283"/>
            </w:pPr>
            <w:hyperlink w:anchor="section_3_1_work_plan_and_resources" w:history="1">
              <w:r>
                <w:rPr>
                  <w:color w:val="111827"/>
                  <w:sz w:val="19"/>
                </w:rPr>
                <w:t>3.1 Work plan and resources</w:t>
              </w:r>
            </w:hyperlink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Arial" w:hAnsi="Arial" w:eastAsia="Arial" w:cs="Arial"/>
                <w:b w:val="0"/>
                <w:color w:val="111827"/>
                <w:sz w:val="18"/>
              </w:rPr>
              <w:t>5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ind w:left="283"/>
            </w:pPr>
            <w:hyperlink w:anchor="section_3_2_consortium_capacity" w:history="1">
              <w:r>
                <w:rPr>
                  <w:color w:val="111827"/>
                  <w:sz w:val="19"/>
                </w:rPr>
                <w:t>3.2 Consortium capacity</w:t>
              </w:r>
            </w:hyperlink>
          </w:p>
        </w:tc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Arial" w:hAnsi="Arial" w:eastAsia="Arial" w:cs="Arial"/>
                <w:b w:val="0"/>
                <w:color w:val="111827"/>
                <w:sz w:val="18"/>
              </w:rPr>
              <w:t>5</w:t>
            </w:r>
          </w:p>
        </w:tc>
      </w:tr>
    </w:tbl>
    <w:p>
      <w:pPr>
        <w:spacing w:before="160" w:after="0"/>
      </w:pPr>
      <w:r>
        <w:rPr>
          <w:rFonts w:ascii="Arial" w:hAnsi="Arial" w:eastAsia="Arial" w:cs="Arial"/>
          <w:i/>
          <w:color w:val="4B5563"/>
          <w:sz w:val="16"/>
        </w:rPr>
        <w:t>Page numbers reflect the matching renderer layout and should be checked after substantive edits in Word.</w:t>
      </w:r>
    </w:p>
    <w:p>
      <w:r>
        <w:br w:type="page"/>
      </w:r>
    </w:p>
    <w:p>
      <w:bookmarkStart w:id="1" w:name="section_1_excellence"/>
      <w:pPr>
        <w:pStyle w:val="Heading1"/>
      </w:pPr>
      <w:r>
        <w:rPr>
          <w:rFonts w:ascii="Arial" w:hAnsi="Arial" w:eastAsia="Arial" w:cs="Arial"/>
        </w:rPr>
        <w:t>1. Excellence</w:t>
      </w:r>
      <w:bookmarkEnd w:id="1"/>
    </w:p>
    <w:p>
      <w:bookmarkStart w:id="2" w:name="section_1_1_objectives_and_ambition"/>
      <w:pPr>
        <w:pStyle w:val="Heading2"/>
      </w:pPr>
      <w:r>
        <w:rPr>
          <w:rFonts w:ascii="Arial" w:hAnsi="Arial" w:eastAsia="Arial" w:cs="Arial"/>
        </w:rPr>
        <w:t>1.1 Objectives and ambition</w:t>
      </w:r>
      <w:bookmarkEnd w:id="2"/>
    </w:p>
    <w:p>
      <w:pPr>
        <w:jc w:val="left"/>
      </w:pPr>
      <w:r>
        <w:rPr>
          <w:rFonts w:ascii="Arial" w:hAnsi="Arial" w:eastAsia="Arial" w:cs="Arial"/>
        </w:rPr>
        <w:t>AGRO-THRIVE will develop and validate a decision-intelligence framework that</w:t>
        <w:br/>
        <w:t>helps agricultural actors compare bioeconomy opportunities against food</w:t>
        <w:br/>
        <w:t>security, climate, biodiversity, soil and farm-income objectives. The framework</w:t>
        <w:br/>
        <w:t>will connect parcel-level evidence, regional scenarios and European policy</w:t>
        <w:br/>
        <w:t>requirements without presenting one model output as a universal answer.</w:t>
      </w:r>
    </w:p>
    <w:p>
      <w:pPr>
        <w:jc w:val="left"/>
      </w:pPr>
      <w:r>
        <w:rPr>
          <w:rFonts w:ascii="Arial" w:hAnsi="Arial" w:eastAsia="Arial" w:cs="Arial"/>
        </w:rPr>
        <w:t>The proposal has four measurable objectives:</w:t>
      </w:r>
    </w:p>
    <w:p>
      <w:pPr>
        <w:pStyle w:val="ListNumber"/>
        <w:ind w:left="539" w:hanging="278"/>
      </w:pPr>
      <w:r>
        <w:rPr>
          <w:rFonts w:ascii="Arial" w:hAnsi="Arial" w:eastAsia="Arial" w:cs="Arial"/>
        </w:rPr>
        <w:t>Create a harmonised evidence base for agricultural biomass availability,</w:t>
        <w:br/>
        <w:t>quality, logistics and environmental safeguards.</w:t>
      </w:r>
    </w:p>
    <w:p>
      <w:pPr>
        <w:pStyle w:val="ListNumber"/>
        <w:ind w:left="539" w:hanging="278"/>
      </w:pPr>
      <w:r>
        <w:rPr>
          <w:rFonts w:ascii="Arial" w:hAnsi="Arial" w:eastAsia="Arial" w:cs="Arial"/>
        </w:rPr>
        <w:t>Develop transparent feasibility and multi-objective optimisation models.</w:t>
      </w:r>
    </w:p>
    <w:p>
      <w:pPr>
        <w:pStyle w:val="ListNumber"/>
        <w:ind w:left="539" w:hanging="278"/>
      </w:pPr>
      <w:r>
        <w:rPr>
          <w:rFonts w:ascii="Arial" w:hAnsi="Arial" w:eastAsia="Arial" w:cs="Arial"/>
        </w:rPr>
        <w:t>Validate the approach across ten pilot case studies and different crop,</w:t>
        <w:br/>
        <w:t>climate and value-chain contexts.</w:t>
      </w:r>
    </w:p>
    <w:p>
      <w:pPr>
        <w:pStyle w:val="ListNumber"/>
        <w:ind w:left="539" w:hanging="278"/>
      </w:pPr>
      <w:r>
        <w:rPr>
          <w:rFonts w:ascii="Arial" w:hAnsi="Arial" w:eastAsia="Arial" w:cs="Arial"/>
        </w:rPr>
        <w:t>Produce adoption-ready decision services, methods, training and policy</w:t>
        <w:br/>
        <w:t>recommendations.</w:t>
      </w:r>
    </w:p>
    <w:p>
      <w:bookmarkStart w:id="3" w:name="section_1_2_state_of_the_art_and_progress_beyo"/>
      <w:pPr>
        <w:pStyle w:val="Heading2"/>
      </w:pPr>
      <w:r>
        <w:rPr>
          <w:rFonts w:ascii="Arial" w:hAnsi="Arial" w:eastAsia="Arial" w:cs="Arial"/>
        </w:rPr>
        <w:t>1.2 State of the art and progress beyond it</w:t>
      </w:r>
      <w:bookmarkEnd w:id="3"/>
    </w:p>
    <w:p>
      <w:pPr>
        <w:jc w:val="left"/>
      </w:pPr>
      <w:r>
        <w:rPr>
          <w:rFonts w:ascii="Arial" w:hAnsi="Arial" w:eastAsia="Arial" w:cs="Arial"/>
        </w:rPr>
        <w:t>Remote sensing, field observations and operational data can be combined to</w:t>
        <w:br/>
        <w:t>improve spatial biomass assessment [1][2]. The proposal will advance beyond</w:t>
        <w:br/>
        <w:t>single-model prediction by preserving source versions, uncertainty, applicable</w:t>
        <w:br/>
        <w:t>conditions and claim-level evidence links. Every scientific claim released to a</w:t>
        <w:br/>
        <w:t>proposal drafter must have an exact full-text passage and page locator.</w:t>
      </w:r>
    </w:p>
    <w:p>
      <w:pPr>
        <w:jc w:val="left"/>
      </w:pPr>
    </w:p>
    <w:tbl>
      <w:tblPr>
        <w:tblW w:type="dxa" w:w="9688"/>
        <w:tblLayout w:type="fixed"/>
        <w:tblLook w:firstColumn="1" w:firstRow="1" w:lastColumn="0" w:lastRow="0" w:noHBand="0" w:noVBand="1" w:val="04A0"/>
        <w:tblInd w:w="120" w:type="dxa"/>
        <w:tblBorders>
          <w:top w:val="dashed" w:sz="10" w:space="0" w:color="003399"/>
          <w:left w:val="dashed" w:sz="10" w:space="0" w:color="003399"/>
          <w:bottom w:val="dashed" w:sz="10" w:space="0" w:color="003399"/>
          <w:right w:val="dashed" w:sz="10" w:space="0" w:color="003399"/>
          <w:insideH w:val="dashed" w:sz="10" w:space="0" w:color="003399"/>
          <w:insideV w:val="dashed" w:sz="10" w:space="0" w:color="003399"/>
        </w:tblBorders>
      </w:tblPr>
      <w:tblGrid>
        <w:gridCol w:w="9688"/>
      </w:tblGrid>
      <w:tr>
        <w:tc>
          <w:tcPr>
            <w:tcW w:type="dxa" w:w="9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8FAFC"/>
          </w:tcPr>
          <w:p>
            <w:pPr>
              <w:spacing w:before="280" w:after="280"/>
              <w:jc w:val="center"/>
            </w:pPr>
            <w:r>
              <w:rPr>
                <w:rFonts w:ascii="Arial" w:hAnsi="Arial" w:eastAsia="Arial" w:cs="Arial"/>
                <w:i/>
                <w:color w:val="334155"/>
                <w:sz w:val="18"/>
              </w:rPr>
              <w:t>Image placeholder - prompt: A clean European research infographic showing satellite, drone, field sensor and laboratory evidence flowing into a transparent decision-support platform; white background, EU-blue accents, no text labels</w:t>
            </w:r>
          </w:p>
        </w:tc>
      </w:tr>
    </w:tbl>
    <w:p>
      <w:pPr>
        <w:spacing w:after="20"/>
      </w:pPr>
    </w:p>
    <w:p>
      <w:pPr>
        <w:jc w:val="left"/>
      </w:pPr>
    </w:p>
    <w:p>
      <w:bookmarkStart w:id="4" w:name="section_1_3_methodology"/>
      <w:pPr>
        <w:pStyle w:val="Heading2"/>
      </w:pPr>
      <w:r>
        <w:rPr>
          <w:rFonts w:ascii="Arial" w:hAnsi="Arial" w:eastAsia="Arial" w:cs="Arial"/>
        </w:rPr>
        <w:t>1.3 Methodology</w:t>
      </w:r>
      <w:bookmarkEnd w:id="4"/>
    </w:p>
    <w:p>
      <w:pPr>
        <w:jc w:val="left"/>
      </w:pPr>
      <w:r>
        <w:rPr>
          <w:rFonts w:ascii="Arial" w:hAnsi="Arial" w:eastAsia="Arial" w:cs="Arial"/>
        </w:rPr>
        <w:t>The methodology follows an evidence-first sequence: call requirements are</w:t>
        <w:br/>
        <w:t>decomposed, proposal claims are atomised, source routes are selected, candidate</w:t>
        <w:br/>
        <w:t>records are discovered, full text is acquired, passages are retrieved and</w:t>
        <w:br/>
        <w:t>claim-source pairs are verified. Candidate titles, abstracts and search</w:t>
        <w:br/>
        <w:t>snippets never change a claim's verification status.</w:t>
      </w:r>
    </w:p>
    <w:tbl>
      <w:tblPr>
        <w:tblW w:type="dxa" w:w="9688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Ind w:w="120" w:type="dxa"/>
      </w:tblPr>
      <w:tblGrid>
        <w:gridCol w:w="2719"/>
        <w:gridCol w:w="3083"/>
        <w:gridCol w:w="3886"/>
      </w:tblGrid>
      <w:tr>
        <w:trPr>
          <w:tblHeader w:val="true"/>
        </w:trPr>
        <w:tc>
          <w:tcPr>
            <w:tcW w:type="dxa" w:w="2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0FA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b/>
                <w:color w:val="102A56"/>
                <w:sz w:val="17"/>
              </w:rPr>
              <w:t>Stage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0FA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b/>
                <w:color w:val="102A56"/>
                <w:sz w:val="17"/>
              </w:rPr>
              <w:t>Main output</w:t>
            </w:r>
          </w:p>
        </w:tc>
        <w:tc>
          <w:tcPr>
            <w:tcW w:type="dxa" w:w="3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0FA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b/>
                <w:color w:val="102A56"/>
                <w:sz w:val="17"/>
              </w:rPr>
              <w:t>Hard gate</w:t>
            </w:r>
          </w:p>
        </w:tc>
      </w:tr>
      <w:tr>
        <w:tc>
          <w:tcPr>
            <w:tcW w:type="dxa" w:w="2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Claim preparation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Atomic, typed claims</w:t>
            </w:r>
          </w:p>
        </w:tc>
        <w:tc>
          <w:tcPr>
            <w:tcW w:type="dxa" w:w="3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Compound critical claims are split</w:t>
            </w:r>
          </w:p>
        </w:tc>
      </w:tr>
      <w:tr>
        <w:tc>
          <w:tcPr>
            <w:tcW w:type="dxa" w:w="2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Discovery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Candidate-source register</w:t>
            </w:r>
          </w:p>
        </w:tc>
        <w:tc>
          <w:tcPr>
            <w:tcW w:type="dxa" w:w="3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Candidate is not evidence</w:t>
            </w:r>
          </w:p>
        </w:tc>
      </w:tr>
      <w:tr>
        <w:tc>
          <w:tcPr>
            <w:tcW w:type="dxa" w:w="2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Full-text acquisition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Immutable document version</w:t>
            </w:r>
          </w:p>
        </w:tc>
        <w:tc>
          <w:tcPr>
            <w:tcW w:type="dxa" w:w="3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Content hash and page text</w:t>
            </w:r>
          </w:p>
        </w:tc>
      </w:tr>
      <w:tr>
        <w:tc>
          <w:tcPr>
            <w:tcW w:type="dxa" w:w="2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Verification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Exact passage and stance</w:t>
            </w:r>
          </w:p>
        </w:tc>
        <w:tc>
          <w:tcPr>
            <w:tcW w:type="dxa" w:w="3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Quote exists in source version</w:t>
            </w:r>
          </w:p>
        </w:tc>
      </w:tr>
      <w:tr>
        <w:tc>
          <w:tcPr>
            <w:tcW w:type="dxa" w:w="2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Triangulation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Claim-level decision</w:t>
            </w:r>
          </w:p>
        </w:tc>
        <w:tc>
          <w:tcPr>
            <w:tcW w:type="dxa" w:w="3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Independence and contradiction checks</w:t>
            </w:r>
          </w:p>
        </w:tc>
      </w:tr>
      <w:tr>
        <w:tc>
          <w:tcPr>
            <w:tcW w:type="dxa" w:w="27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Citation audit</w:t>
            </w:r>
          </w:p>
        </w:tc>
        <w:tc>
          <w:tcPr>
            <w:tcW w:type="dxa" w:w="3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Cited proposal text</w:t>
            </w:r>
          </w:p>
        </w:tc>
        <w:tc>
          <w:tcPr>
            <w:tcW w:type="dxa" w:w="3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No orphan or drifting citations</w:t>
            </w:r>
          </w:p>
        </w:tc>
      </w:tr>
    </w:tbl>
    <w:p>
      <w:pPr>
        <w:spacing w:after="20"/>
      </w:pPr>
    </w:p>
    <w:p>
      <w:bookmarkStart w:id="5" w:name="section_2_impact"/>
      <w:pPr>
        <w:pStyle w:val="Heading1"/>
        <w:pageBreakBefore/>
      </w:pPr>
      <w:r>
        <w:rPr>
          <w:rFonts w:ascii="Arial" w:hAnsi="Arial" w:eastAsia="Arial" w:cs="Arial"/>
        </w:rPr>
        <w:t>2. Impact</w:t>
      </w:r>
      <w:bookmarkEnd w:id="5"/>
    </w:p>
    <w:p>
      <w:bookmarkStart w:id="6" w:name="section_2_1_pathways_towards_impact"/>
      <w:pPr>
        <w:pStyle w:val="Heading2"/>
      </w:pPr>
      <w:r>
        <w:rPr>
          <w:rFonts w:ascii="Arial" w:hAnsi="Arial" w:eastAsia="Arial" w:cs="Arial"/>
        </w:rPr>
        <w:t>2.1 Pathways towards impact</w:t>
      </w:r>
      <w:bookmarkEnd w:id="6"/>
    </w:p>
    <w:p>
      <w:pPr>
        <w:jc w:val="left"/>
      </w:pPr>
      <w:r>
        <w:rPr>
          <w:rFonts w:ascii="Arial" w:hAnsi="Arial" w:eastAsia="Arial" w:cs="Arial"/>
        </w:rPr>
        <w:t>The project will connect activities to results, users, adoption mechanisms,</w:t>
        <w:br/>
        <w:t>outcomes and longer-term impacts. Each proposed KPI will retain its baseline,</w:t>
        <w:br/>
        <w:t>target, unit, measurement source, owner and target date. Project targets will</w:t>
        <w:br/>
        <w:t>be labelled as future commitments and will not be presented as achieved</w:t>
        <w:br/>
        <w:t>results.</w:t>
      </w:r>
    </w:p>
    <w:p>
      <w:bookmarkStart w:id="7" w:name="section_2_2_measures_to_maximise_impact"/>
      <w:pPr>
        <w:pStyle w:val="Heading2"/>
      </w:pPr>
      <w:r>
        <w:rPr>
          <w:rFonts w:ascii="Arial" w:hAnsi="Arial" w:eastAsia="Arial" w:cs="Arial"/>
        </w:rPr>
        <w:t>2.2 Measures to maximise impact</w:t>
      </w:r>
      <w:bookmarkEnd w:id="7"/>
    </w:p>
    <w:p>
      <w:pPr>
        <w:jc w:val="left"/>
      </w:pPr>
      <w:r>
        <w:rPr>
          <w:rFonts w:ascii="Arial" w:hAnsi="Arial" w:eastAsia="Arial" w:cs="Arial"/>
        </w:rPr>
        <w:t>Dissemination, exploitation and communication will be planned for farmers,</w:t>
        <w:br/>
        <w:t>cooperatives, industrial users, technical providers, researchers, policymakers</w:t>
        <w:br/>
        <w:t>and auditors. The final plan will define foreground ownership, access rights,</w:t>
        <w:br/>
        <w:t>open-science routes, exploitable results, target channels and responsible</w:t>
        <w:br/>
        <w:t>partners.</w:t>
      </w:r>
    </w:p>
    <w:p>
      <w:bookmarkStart w:id="8" w:name="section_3_quality_and_efficiency_of_implementa"/>
      <w:pPr>
        <w:pStyle w:val="Heading1"/>
        <w:pageBreakBefore/>
      </w:pPr>
      <w:r>
        <w:rPr>
          <w:rFonts w:ascii="Arial" w:hAnsi="Arial" w:eastAsia="Arial" w:cs="Arial"/>
        </w:rPr>
        <w:t>3. Quality and efficiency of implementation</w:t>
      </w:r>
      <w:bookmarkEnd w:id="8"/>
    </w:p>
    <w:p>
      <w:bookmarkStart w:id="9" w:name="section_3_1_work_plan_and_resources"/>
      <w:pPr>
        <w:pStyle w:val="Heading2"/>
      </w:pPr>
      <w:r>
        <w:rPr>
          <w:rFonts w:ascii="Arial" w:hAnsi="Arial" w:eastAsia="Arial" w:cs="Arial"/>
        </w:rPr>
        <w:t>3.1 Work plan and resources</w:t>
      </w:r>
      <w:bookmarkEnd w:id="9"/>
    </w:p>
    <w:p>
      <w:pPr>
        <w:jc w:val="left"/>
      </w:pPr>
      <w:r>
        <w:rPr>
          <w:rFonts w:ascii="Arial" w:hAnsi="Arial" w:eastAsia="Arial" w:cs="Arial"/>
        </w:rPr>
        <w:t>The work plan will combine project management, evidence and data foundations,</w:t>
        <w:br/>
        <w:t>AI/ML modelling, decision intelligence, platform integration, pilot validation</w:t>
        <w:br/>
        <w:t>and impact activities. Dependencies will be explicit so that modelling results</w:t>
        <w:br/>
        <w:t>cannot be treated as deployment-ready before data-quality and validation gates</w:t>
        <w:br/>
        <w:t>have passed.</w:t>
      </w:r>
    </w:p>
    <w:tbl>
      <w:tblPr>
        <w:tblW w:type="dxa" w:w="9688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Ind w:w="120" w:type="dxa"/>
      </w:tblPr>
      <w:tblGrid>
        <w:gridCol w:w="1864"/>
        <w:gridCol w:w="3431"/>
        <w:gridCol w:w="2828"/>
        <w:gridCol w:w="1565"/>
      </w:tblGrid>
      <w:tr>
        <w:trPr>
          <w:tblHeader w:val="true"/>
        </w:trPr>
        <w:tc>
          <w:tcPr>
            <w:tcW w:type="dxa" w:w="1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0FA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b/>
                <w:color w:val="102A56"/>
                <w:sz w:val="17"/>
              </w:rPr>
              <w:t>Work package</w:t>
            </w:r>
          </w:p>
        </w:tc>
        <w:tc>
          <w:tcPr>
            <w:tcW w:type="dxa" w:w="34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0FA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b/>
                <w:color w:val="102A56"/>
                <w:sz w:val="17"/>
              </w:rPr>
              <w:t>Purpose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0FA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b/>
                <w:color w:val="102A56"/>
                <w:sz w:val="17"/>
              </w:rPr>
              <w:t>Lead</w:t>
            </w:r>
          </w:p>
        </w:tc>
        <w:tc>
          <w:tcPr>
            <w:tcW w:type="dxa" w:w="1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0FA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b/>
                <w:color w:val="102A56"/>
                <w:sz w:val="17"/>
              </w:rPr>
              <w:t>Timing</w:t>
            </w:r>
          </w:p>
        </w:tc>
      </w:tr>
      <w:tr>
        <w:tc>
          <w:tcPr>
            <w:tcW w:type="dxa" w:w="1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WP1</w:t>
            </w:r>
          </w:p>
        </w:tc>
        <w:tc>
          <w:tcPr>
            <w:tcW w:type="dxa" w:w="34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Coordination, ethics and quality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b/>
                <w:color w:val="9A3412"/>
                <w:sz w:val="17"/>
                <w:shd w:val="clear" w:color="auto" w:fill="FFF7ED"/>
              </w:rPr>
              <w:t>[INPUT NEEDED: lead partner]</w:t>
            </w:r>
          </w:p>
        </w:tc>
        <w:tc>
          <w:tcPr>
            <w:tcW w:type="dxa" w:w="1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M1-M48</w:t>
            </w:r>
          </w:p>
        </w:tc>
      </w:tr>
      <w:tr>
        <w:tc>
          <w:tcPr>
            <w:tcW w:type="dxa" w:w="1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WP2</w:t>
            </w:r>
          </w:p>
        </w:tc>
        <w:tc>
          <w:tcPr>
            <w:tcW w:type="dxa" w:w="34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Evidence, data and baseline methods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b/>
                <w:color w:val="9A3412"/>
                <w:sz w:val="17"/>
                <w:shd w:val="clear" w:color="auto" w:fill="FFF7ED"/>
              </w:rPr>
              <w:t>[INPUT NEEDED: lead partner]</w:t>
            </w:r>
          </w:p>
        </w:tc>
        <w:tc>
          <w:tcPr>
            <w:tcW w:type="dxa" w:w="1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M1-M18</w:t>
            </w:r>
          </w:p>
        </w:tc>
      </w:tr>
      <w:tr>
        <w:tc>
          <w:tcPr>
            <w:tcW w:type="dxa" w:w="1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WP3</w:t>
            </w:r>
          </w:p>
        </w:tc>
        <w:tc>
          <w:tcPr>
            <w:tcW w:type="dxa" w:w="34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Predictive models and uncertainty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b/>
                <w:color w:val="9A3412"/>
                <w:sz w:val="17"/>
                <w:shd w:val="clear" w:color="auto" w:fill="FFF7ED"/>
              </w:rPr>
              <w:t>[INPUT NEEDED: lead partner]</w:t>
            </w:r>
          </w:p>
        </w:tc>
        <w:tc>
          <w:tcPr>
            <w:tcW w:type="dxa" w:w="1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M6-M30</w:t>
            </w:r>
          </w:p>
        </w:tc>
      </w:tr>
      <w:tr>
        <w:tc>
          <w:tcPr>
            <w:tcW w:type="dxa" w:w="1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WP4</w:t>
            </w:r>
          </w:p>
        </w:tc>
        <w:tc>
          <w:tcPr>
            <w:tcW w:type="dxa" w:w="34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Decision intelligence and platform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b/>
                <w:color w:val="9A3412"/>
                <w:sz w:val="17"/>
                <w:shd w:val="clear" w:color="auto" w:fill="FFF7ED"/>
              </w:rPr>
              <w:t>[INPUT NEEDED: lead partner]</w:t>
            </w:r>
          </w:p>
        </w:tc>
        <w:tc>
          <w:tcPr>
            <w:tcW w:type="dxa" w:w="1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M12-M36</w:t>
            </w:r>
          </w:p>
        </w:tc>
      </w:tr>
      <w:tr>
        <w:tc>
          <w:tcPr>
            <w:tcW w:type="dxa" w:w="1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WP5</w:t>
            </w:r>
          </w:p>
        </w:tc>
        <w:tc>
          <w:tcPr>
            <w:tcW w:type="dxa" w:w="34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Pilot validation and adoption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b/>
                <w:color w:val="9A3412"/>
                <w:sz w:val="17"/>
                <w:shd w:val="clear" w:color="auto" w:fill="FFF7ED"/>
              </w:rPr>
              <w:t>[INPUT NEEDED: lead partner]</w:t>
            </w:r>
          </w:p>
        </w:tc>
        <w:tc>
          <w:tcPr>
            <w:tcW w:type="dxa" w:w="1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M18-M46</w:t>
            </w:r>
          </w:p>
        </w:tc>
      </w:tr>
      <w:tr>
        <w:tc>
          <w:tcPr>
            <w:tcW w:type="dxa" w:w="1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WP6</w:t>
            </w:r>
          </w:p>
        </w:tc>
        <w:tc>
          <w:tcPr>
            <w:tcW w:type="dxa" w:w="34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Impact, exploitation and communication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b/>
                <w:color w:val="9A3412"/>
                <w:sz w:val="17"/>
                <w:shd w:val="clear" w:color="auto" w:fill="FFF7ED"/>
              </w:rPr>
              <w:t>[INPUT NEEDED: lead partner]</w:t>
            </w:r>
          </w:p>
        </w:tc>
        <w:tc>
          <w:tcPr>
            <w:tcW w:type="dxa" w:w="1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 w:cs="Arial"/>
                <w:sz w:val="17"/>
              </w:rPr>
              <w:t>M1-M48</w:t>
            </w:r>
          </w:p>
        </w:tc>
      </w:tr>
    </w:tbl>
    <w:p>
      <w:pPr>
        <w:spacing w:after="20"/>
      </w:pPr>
    </w:p>
    <w:p>
      <w:bookmarkStart w:id="10" w:name="section_3_2_consortium_capacity"/>
      <w:pPr>
        <w:pStyle w:val="Heading2"/>
      </w:pPr>
      <w:r>
        <w:rPr>
          <w:rFonts w:ascii="Arial" w:hAnsi="Arial" w:eastAsia="Arial" w:cs="Arial"/>
        </w:rPr>
        <w:t>3.2 Consortium capacity</w:t>
      </w:r>
      <w:bookmarkEnd w:id="10"/>
    </w:p>
    <w:p>
      <w:pPr>
        <w:jc w:val="left"/>
      </w:pPr>
      <w:r>
        <w:rPr>
          <w:rFonts w:ascii="Arial" w:hAnsi="Arial" w:eastAsia="Arial" w:cs="Arial"/>
        </w:rPr>
        <w:t>The consortium description will demonstrate complementary scientific,</w:t>
        <w:br/>
        <w:t>technical, operational, policy and end-user capabilities. Legal names,</w:t>
        <w:br/>
        <w:t>countries, roles, person-months and work-package responsibilities must be</w:t>
        <w:br/>
        <w:t>confirmed by the consortium before submission.</w:t>
      </w:r>
    </w:p>
    <w:p>
      <w:bookmarkStart w:id="11" w:name="references"/>
      <w:pPr>
        <w:pStyle w:val="Heading1"/>
        <w:pageBreakBefore/>
      </w:pPr>
      <w:r>
        <w:t>References</w:t>
      </w:r>
      <w:bookmarkEnd w:id="11"/>
    </w:p>
    <w:p>
      <w:bookmarkStart w:id="12" w:name="CIT_0001"/>
      <w:pPr>
        <w:spacing w:after="100"/>
        <w:ind w:left="397" w:hanging="397"/>
      </w:pPr>
      <w:r>
        <w:rPr>
          <w:rFonts w:ascii="Arial" w:hAnsi="Arial" w:eastAsia="Arial" w:cs="Arial"/>
          <w:b/>
          <w:color w:val="003399"/>
          <w:sz w:val="17"/>
        </w:rPr>
        <w:t xml:space="preserve">[1] </w:t>
      </w:r>
      <w:r>
        <w:rPr>
          <w:rFonts w:ascii="Arial" w:hAnsi="Arial" w:eastAsia="Arial" w:cs="Arial"/>
          <w:color w:val="111827"/>
          <w:sz w:val="17"/>
        </w:rPr>
        <w:t>Example Researcher et al. Verified source one. 2025.</w:t>
      </w:r>
      <w:bookmarkEnd w:id="12"/>
    </w:p>
    <w:p>
      <w:bookmarkStart w:id="13" w:name="CIT_0002"/>
      <w:pPr>
        <w:spacing w:after="100"/>
        <w:ind w:left="397" w:hanging="397"/>
      </w:pPr>
      <w:r>
        <w:rPr>
          <w:rFonts w:ascii="Arial" w:hAnsi="Arial" w:eastAsia="Arial" w:cs="Arial"/>
          <w:b/>
          <w:color w:val="003399"/>
          <w:sz w:val="17"/>
        </w:rPr>
        <w:t xml:space="preserve">[2] </w:t>
      </w:r>
      <w:r>
        <w:rPr>
          <w:rFonts w:ascii="Arial" w:hAnsi="Arial" w:eastAsia="Arial" w:cs="Arial"/>
          <w:color w:val="111827"/>
          <w:sz w:val="17"/>
        </w:rPr>
        <w:t>Example Researcher et al. Verified source two. 2024.</w:t>
      </w:r>
      <w:bookmarkEnd w:id="13"/>
    </w:p>
    <w:p>
      <w:bookmarkStart w:id="14" w:name="evidence_integrity_annex"/>
      <w:pPr>
        <w:pStyle w:val="Heading1"/>
        <w:pageBreakBefore/>
      </w:pPr>
      <w:r>
        <w:t>Evidence integrity annex</w:t>
      </w:r>
      <w:bookmarkEnd w:id="14"/>
    </w:p>
    <w:p>
      <w:pPr>
        <w:pStyle w:val="Heading2"/>
      </w:pPr>
      <w:r>
        <w:t>Quality summary</w:t>
      </w:r>
    </w:p>
    <w:tbl>
      <w:tblPr>
        <w:tblW w:type="dxa" w:w="9688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3300"/>
        <w:gridCol w:w="6388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0FA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03399"/>
                <w:sz w:val="17"/>
              </w:rPr>
              <w:t>Policy Version</w:t>
            </w:r>
          </w:p>
        </w:tc>
        <w:tc>
          <w:tcPr>
            <w:tcW w:type="dxa" w:w="6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111827"/>
                <w:sz w:val="17"/>
              </w:rPr>
              <w:t>eurskem-evidence-v2.0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0FA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03399"/>
                <w:sz w:val="17"/>
              </w:rPr>
              <w:t>Claims Examined</w:t>
            </w:r>
          </w:p>
        </w:tc>
        <w:tc>
          <w:tcPr>
            <w:tcW w:type="dxa" w:w="6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111827"/>
                <w:sz w:val="17"/>
              </w:rPr>
              <w:t>2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0FA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03399"/>
                <w:sz w:val="17"/>
              </w:rPr>
              <w:t>Verified Claims</w:t>
            </w:r>
          </w:p>
        </w:tc>
        <w:tc>
          <w:tcPr>
            <w:tcW w:type="dxa" w:w="6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111827"/>
                <w:sz w:val="17"/>
              </w:rPr>
              <w:t>2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EAF0FA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003399"/>
                <w:sz w:val="17"/>
              </w:rPr>
              <w:t>Exact Locator Rate</w:t>
            </w:r>
          </w:p>
        </w:tc>
        <w:tc>
          <w:tcPr>
            <w:tcW w:type="dxa" w:w="6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111827"/>
                <w:sz w:val="17"/>
              </w:rPr>
              <w:t>1.0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964" w:bottom="1077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88"/>
      <w:tblLayout w:type="fixed"/>
      <w:tblLook w:firstColumn="1" w:firstRow="1" w:lastColumn="0" w:lastRow="0" w:noHBand="0" w:noVBand="1" w:val="04A0"/>
      <w:tblInd w:w="0" w:type="dxa"/>
      <w:tblBorders>
        <w:top w:val="nil" w:sz="0" w:space="0" w:color="FFFFFF"/>
        <w:left w:val="nil" w:sz="0" w:space="0" w:color="FFFFFF"/>
        <w:bottom w:val="nil" w:sz="0" w:space="0" w:color="FFFFFF"/>
        <w:right w:val="nil" w:sz="0" w:space="0" w:color="FFFFFF"/>
        <w:insideH w:val="nil" w:sz="0" w:space="0" w:color="FFFFFF"/>
        <w:insideV w:val="nil" w:sz="0" w:space="0" w:color="FFFFFF"/>
      </w:tblBorders>
    </w:tblPr>
    <w:tblGrid>
      <w:gridCol w:w="6200"/>
      <w:gridCol w:w="3488"/>
    </w:tblGrid>
    <w:tr>
      <w:tc>
        <w:tcPr>
          <w:tcW w:type="dxa" w:w="62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</w:pPr>
          <w:r>
            <w:rPr>
              <w:rFonts w:ascii="Arial" w:hAnsi="Arial" w:eastAsia="Arial" w:cs="Arial"/>
              <w:color w:val="4B5563"/>
              <w:sz w:val="16"/>
            </w:rPr>
            <w:t>HORIZON-CL6-2026-01-CIRCBIO-09 - DOCX renderer validation sample</w:t>
          </w:r>
        </w:p>
      </w:tc>
      <w:tc>
        <w:tcPr>
          <w:tcW w:type="dxa" w:w="3488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Arial" w:hAnsi="Arial" w:eastAsia="Arial" w:cs="Arial"/>
              <w:color w:val="4B5563"/>
              <w:sz w:val="16"/>
            </w:rPr>
            <w:t xml:space="preserve">Page </w:t>
          </w:r>
          <w: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 w:eastAsia="Arial" w:cs="Arial"/>
              <w:color w:val="4B5563"/>
              <w:sz w:val="16"/>
            </w:rPr>
            <w:t xml:space="preserve"> of </w:t>
          </w:r>
          <w: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2" w:color="D1D5DB"/>
      </w:pBdr>
    </w:pPr>
    <w:r>
      <w:rPr>
        <w:rFonts w:ascii="Arial" w:hAnsi="Arial" w:eastAsia="Arial" w:cs="Arial"/>
        <w:color w:val="4B5563"/>
        <w:sz w:val="16"/>
      </w:rPr>
      <w:t>AGRO-THRIVE - Part 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</w:pPr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339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33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11827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8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8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</w:pPr>
    <w:rPr>
      <w:rFonts w:ascii="Arial" w:hAnsi="Arial"/>
      <w:b/>
      <w:bCs/>
      <w:i/>
      <w:color w:val="4B556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posalTOCHeading">
    <w:name w:val="Proposal TOC Heading"/>
    <w:pPr>
      <w:spacing w:before="0" w:after="240"/>
    </w:pPr>
    <w:rPr>
      <w:rFonts w:ascii="Arial" w:hAnsi="Arial"/>
      <w:b/>
      <w:color w:val="003399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AGRO-THRIVE: Balancing food security, bioeconomy, climate and biodiversity</dc:title>
  <dc:subject>Horizon Europe proposal</dc:subject>
  <dc:creator>Eurskem AI</dc:creator>
  <cp:keywords>Horizon Europe, proposal, Part B</cp:keywords>
  <dc:description>Generated from sanitised proposal HTML/Markdown; verify final pagination in Microsoft Word before submission.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