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0472" w14:textId="77777777" w:rsidR="00A73048" w:rsidRPr="00A73048" w:rsidRDefault="00A73048" w:rsidP="00A73048">
      <w:pPr>
        <w:pStyle w:val="Heading1"/>
      </w:pPr>
      <w:r w:rsidRPr="00A73048">
        <w:t>Long-Run Price Dynamics Among AAPL, MSFT, and SPY: A Johansen Cointegration and VECM Analysis</w:t>
      </w:r>
    </w:p>
    <w:p w14:paraId="1DA56DBF" w14:textId="77777777" w:rsidR="00A73048" w:rsidRPr="00A73048" w:rsidRDefault="00A73048" w:rsidP="00A73048">
      <w:r w:rsidRPr="00A73048">
        <w:pict w14:anchorId="1072D362">
          <v:rect id="_x0000_i1067" style="width:0;height:1.5pt" o:hralign="center" o:hrstd="t" o:hr="t" fillcolor="#a0a0a0" stroked="f"/>
        </w:pict>
      </w:r>
    </w:p>
    <w:p w14:paraId="6E6FF42D" w14:textId="77777777" w:rsidR="00A73048" w:rsidRPr="00A73048" w:rsidRDefault="00A73048" w:rsidP="00A73048">
      <w:pPr>
        <w:rPr>
          <w:b/>
          <w:bCs/>
        </w:rPr>
      </w:pPr>
      <w:r w:rsidRPr="00A73048">
        <w:rPr>
          <w:b/>
          <w:bCs/>
        </w:rPr>
        <w:t>1. Introduction</w:t>
      </w:r>
    </w:p>
    <w:p w14:paraId="57F7609A" w14:textId="77777777" w:rsidR="00A73048" w:rsidRPr="00A73048" w:rsidRDefault="00A73048" w:rsidP="00A73048">
      <w:r w:rsidRPr="00A73048">
        <w:t>This report examines the long-run equilibrium relationship and short-run adjustment dynamics among three major financial assets: Apple Inc. (AAPL), Microsoft Corporation (MSFT), and the S&amp;P 500 ETF (SPY). Using the Johansen cointegration framework followed by a Vector Error Correction Model (VECM), the analysis investigates whether these series share a common stochastic trend and, if so, how each series responds when the system deviates from its long-run equilibrium. Daily price data was used throughout, with a sample of approximately 2,760 observations.</w:t>
      </w:r>
    </w:p>
    <w:p w14:paraId="4841D055" w14:textId="77777777" w:rsidR="00A73048" w:rsidRPr="00A73048" w:rsidRDefault="00A73048" w:rsidP="00A73048">
      <w:r w:rsidRPr="00A73048">
        <w:pict w14:anchorId="20241E29">
          <v:rect id="_x0000_i1068" style="width:0;height:1.5pt" o:hralign="center" o:hrstd="t" o:hr="t" fillcolor="#a0a0a0" stroked="f"/>
        </w:pict>
      </w:r>
    </w:p>
    <w:p w14:paraId="1FE2254C" w14:textId="77777777" w:rsidR="00A73048" w:rsidRPr="00A73048" w:rsidRDefault="00A73048" w:rsidP="00A73048">
      <w:pPr>
        <w:rPr>
          <w:b/>
          <w:bCs/>
        </w:rPr>
      </w:pPr>
      <w:r w:rsidRPr="00A73048">
        <w:rPr>
          <w:b/>
          <w:bCs/>
        </w:rPr>
        <w:t>2. Methodology</w:t>
      </w:r>
    </w:p>
    <w:p w14:paraId="41BD94F9" w14:textId="77777777" w:rsidR="00A73048" w:rsidRPr="00A73048" w:rsidRDefault="00A73048" w:rsidP="00A73048">
      <w:r w:rsidRPr="00A73048">
        <w:t xml:space="preserve">Since financial price series are typically non-stationary and integrated of order one, </w:t>
      </w:r>
      <w:proofErr w:type="gramStart"/>
      <w:r w:rsidRPr="00A73048">
        <w:t>I(</w:t>
      </w:r>
      <w:proofErr w:type="gramEnd"/>
      <w:r w:rsidRPr="00A73048">
        <w:t xml:space="preserve">1), standard regression and VAR models estimated in levels are </w:t>
      </w:r>
      <w:proofErr w:type="spellStart"/>
      <w:r w:rsidRPr="00A73048">
        <w:t>misspecified</w:t>
      </w:r>
      <w:proofErr w:type="spellEnd"/>
      <w:r w:rsidRPr="00A73048">
        <w:t xml:space="preserve">. The Johansen trace test provides a multivariate framework for determining the number of cointegrating vectors among a set of </w:t>
      </w:r>
      <w:proofErr w:type="gramStart"/>
      <w:r w:rsidRPr="00A73048">
        <w:t>I(</w:t>
      </w:r>
      <w:proofErr w:type="gramEnd"/>
      <w:r w:rsidRPr="00A73048">
        <w:t>1) series without pre-committing to a dependent variable. Where cointegration is found, the appropriate model is the Vector Error Correction Model, which simultaneously captures short-run dynamics and the long-run equilibrium constraint. A lag length of K=2 was specified with a constant restricted to the cointegrating space.</w:t>
      </w:r>
    </w:p>
    <w:p w14:paraId="2108EF6C" w14:textId="77777777" w:rsidR="00A73048" w:rsidRPr="00A73048" w:rsidRDefault="00A73048" w:rsidP="00A73048">
      <w:r w:rsidRPr="00A73048">
        <w:pict w14:anchorId="24A5D048">
          <v:rect id="_x0000_i1069" style="width:0;height:1.5pt" o:hralign="center" o:hrstd="t" o:hr="t" fillcolor="#a0a0a0" stroked="f"/>
        </w:pict>
      </w:r>
    </w:p>
    <w:p w14:paraId="6ED5C957" w14:textId="77777777" w:rsidR="00A73048" w:rsidRPr="00A73048" w:rsidRDefault="00A73048" w:rsidP="00A73048">
      <w:pPr>
        <w:rPr>
          <w:b/>
          <w:bCs/>
        </w:rPr>
      </w:pPr>
      <w:r w:rsidRPr="00A73048">
        <w:rPr>
          <w:b/>
          <w:bCs/>
        </w:rPr>
        <w:t>3. Johansen Cointegration Results</w:t>
      </w:r>
    </w:p>
    <w:p w14:paraId="1A99F6E9" w14:textId="77777777" w:rsidR="00A73048" w:rsidRPr="00A73048" w:rsidRDefault="00A73048" w:rsidP="00A73048">
      <w:r w:rsidRPr="00A73048">
        <w:t>The Johansen trace test was applied to all three series jointly. The results indicated rejection of the null hypothesis of no cointegration at the 1% significance level, with a trace statistic of 42.47 against a critical value of 34.91. The hypothesis of at most one cointegrating vector could not be rejected, with a trace statistic of 9.15 falling well below the 5% critical value of 19.96. The conclusion is therefore that exactly one cointegrating vector exists among AAPL, MSFT, and SPY.</w:t>
      </w:r>
    </w:p>
    <w:p w14:paraId="1FA1F621" w14:textId="77777777" w:rsidR="00A73048" w:rsidRPr="00A73048" w:rsidRDefault="00A73048" w:rsidP="00A73048">
      <w:r w:rsidRPr="00A73048">
        <w:t>This finding is economically meaningful. A single cointegrating vector implies that while each series individually follows a random walk, they are collectively bound by one shared long-run trend. The three assets cannot drift arbitrarily far apart from one another indefinitely — any deviation from their equilibrium relationship triggers a corrective response across the system.</w:t>
      </w:r>
    </w:p>
    <w:p w14:paraId="236C0D48" w14:textId="77777777" w:rsidR="00A73048" w:rsidRPr="00A73048" w:rsidRDefault="00A73048" w:rsidP="00A73048">
      <w:r w:rsidRPr="00A73048">
        <w:lastRenderedPageBreak/>
        <w:t>The estimated cointegrating vector, normalised to AAPL, is approximately:</w:t>
      </w:r>
    </w:p>
    <w:p w14:paraId="03464CF7" w14:textId="77777777" w:rsidR="00A73048" w:rsidRPr="00A73048" w:rsidRDefault="00A73048" w:rsidP="00A73048">
      <w:r w:rsidRPr="00A73048">
        <w:t>AAPL − 0.803·MSFT + 0.260·SPY = constant</w:t>
      </w:r>
    </w:p>
    <w:p w14:paraId="3B034FFC" w14:textId="77777777" w:rsidR="00A73048" w:rsidRPr="00A73048" w:rsidRDefault="00A73048" w:rsidP="00A73048">
      <w:r w:rsidRPr="00A73048">
        <w:t>This relationship suggests that in the long run, AAPL and MSFT move together strongly, with MSFT's coefficient indicating that a one-unit increase in MSFT is associated with approximately 0.80 units of movement in AAPL. SPY enters with a smaller positive coefficient, reflecting its role as the broader market benchmark to which both tech stocks are partially anchored.</w:t>
      </w:r>
    </w:p>
    <w:p w14:paraId="09204F7E" w14:textId="77777777" w:rsidR="00A73048" w:rsidRPr="00A73048" w:rsidRDefault="00A73048" w:rsidP="00A73048">
      <w:r w:rsidRPr="00A73048">
        <w:t>Pairwise cointegration tests provided supplementary insight. AAPL and MSFT were found to be strongly cointegrated, with a trace statistic of 32.54 exceeding the 1% critical value. MSFT and SPY were also cointegrated, with a trace statistic of 22.00 exceeding the 5% threshold. The AAPL-SPY pair produced a borderline result of 19.84, marginally below the 5% critical value of 19.96 but above the 10% threshold of 17.85, suggesting weak but inconclusive evidence of a direct pairwise relationship between AAPL and the broader index when considered in isolation.</w:t>
      </w:r>
    </w:p>
    <w:p w14:paraId="37965031" w14:textId="77777777" w:rsidR="00A73048" w:rsidRPr="00A73048" w:rsidRDefault="00A73048" w:rsidP="00A73048">
      <w:r w:rsidRPr="00A73048">
        <w:pict w14:anchorId="08341547">
          <v:rect id="_x0000_i1070" style="width:0;height:1.5pt" o:hralign="center" o:hrstd="t" o:hr="t" fillcolor="#a0a0a0" stroked="f"/>
        </w:pict>
      </w:r>
    </w:p>
    <w:p w14:paraId="1C8F4337" w14:textId="77777777" w:rsidR="00A73048" w:rsidRPr="00A73048" w:rsidRDefault="00A73048" w:rsidP="00A73048">
      <w:pPr>
        <w:rPr>
          <w:b/>
          <w:bCs/>
        </w:rPr>
      </w:pPr>
      <w:r w:rsidRPr="00A73048">
        <w:rPr>
          <w:b/>
          <w:bCs/>
        </w:rPr>
        <w:t>4. Vector Error Correction Model Results</w:t>
      </w:r>
    </w:p>
    <w:p w14:paraId="3F125F89" w14:textId="77777777" w:rsidR="00A73048" w:rsidRPr="00A73048" w:rsidRDefault="00A73048" w:rsidP="00A73048">
      <w:r w:rsidRPr="00A73048">
        <w:t>With one cointegrating vector confirmed, a VECM with r=1 was estimated. Each equation models the daily change in one series as a function of the error correction term and lagged first differences of all three series.</w:t>
      </w:r>
    </w:p>
    <w:p w14:paraId="3EE7DA58" w14:textId="77777777" w:rsidR="00A73048" w:rsidRPr="00A73048" w:rsidRDefault="00A73048" w:rsidP="00A73048">
      <w:pPr>
        <w:rPr>
          <w:b/>
          <w:bCs/>
        </w:rPr>
      </w:pPr>
      <w:r w:rsidRPr="00A73048">
        <w:rPr>
          <w:b/>
          <w:bCs/>
        </w:rPr>
        <w:t>4.1 Error Correction Dynamics</w:t>
      </w:r>
    </w:p>
    <w:p w14:paraId="5FB0380F" w14:textId="77777777" w:rsidR="00A73048" w:rsidRPr="00A73048" w:rsidRDefault="00A73048" w:rsidP="00A73048">
      <w:r w:rsidRPr="00A73048">
        <w:t>All three series exhibited statistically significant error correction terms, confirming that each asset actively participates in restoring long-run equilibrium. The loading coefficients were −0.0117 for AAPL, −0.0115 for MSFT, and −0.0177 for SPY, all carrying the expected negative sign.</w:t>
      </w:r>
    </w:p>
    <w:p w14:paraId="06638C57" w14:textId="77777777" w:rsidR="00A73048" w:rsidRPr="00A73048" w:rsidRDefault="00A73048" w:rsidP="00A73048">
      <w:r w:rsidRPr="00A73048">
        <w:t>The negative sign is critical — it means that when the system is above its equilibrium level, each series is pulled downward the following day, and vice versa. The magnitude of each coefficient represents the daily speed of adjustment. AAPL and MSFT correct at nearly identical rates, closing approximately 1.15–1.17% of any existing disequilibrium per day. SPY adjusts most aggressively at 1.77% per day. The half-life of a deviation — the time it takes for half the disequilibrium to be eliminated — is roughly 59 days for AAPL and MSFT, and approximately 39 days for SPY.</w:t>
      </w:r>
    </w:p>
    <w:p w14:paraId="340BA6DE" w14:textId="77777777" w:rsidR="00A73048" w:rsidRPr="00A73048" w:rsidRDefault="00A73048" w:rsidP="00A73048">
      <w:r w:rsidRPr="00A73048">
        <w:t>The fact that all three loading weights are significant and of similar magnitude means no single series acts as a purely exogenous leader. The system is genuinely multivariate in its adjustment process, with each asset sharing the burden of restoring equilibrium.</w:t>
      </w:r>
    </w:p>
    <w:p w14:paraId="3E0D7481" w14:textId="77777777" w:rsidR="00A73048" w:rsidRPr="00A73048" w:rsidRDefault="00A73048" w:rsidP="00A73048">
      <w:pPr>
        <w:rPr>
          <w:b/>
          <w:bCs/>
        </w:rPr>
      </w:pPr>
      <w:r w:rsidRPr="00A73048">
        <w:rPr>
          <w:b/>
          <w:bCs/>
        </w:rPr>
        <w:t>4.2 Short-Run Dynamics: AAPL Equation</w:t>
      </w:r>
    </w:p>
    <w:p w14:paraId="253B5B3F" w14:textId="77777777" w:rsidR="00A73048" w:rsidRPr="00A73048" w:rsidRDefault="00A73048" w:rsidP="00A73048">
      <w:r w:rsidRPr="00A73048">
        <w:lastRenderedPageBreak/>
        <w:t>The AAPL equation displayed the richest short-run structure of the three. Beyond the error correction term, two lagged variables were statistically significant. AAPL's own lagged change entered with a coefficient of +0.095, significant at the 0.1% level, indicating a mild but reliable momentum effect — if AAPL rose yesterday, it tends to rise slightly today. This is consistent with short-run autocorrelation commonly documented in individual equity returns.</w:t>
      </w:r>
    </w:p>
    <w:p w14:paraId="71284651" w14:textId="77777777" w:rsidR="00A73048" w:rsidRPr="00A73048" w:rsidRDefault="00A73048" w:rsidP="00A73048">
      <w:r w:rsidRPr="00A73048">
        <w:t>More interestingly, the lagged change in SPY entered with a coefficient of −0.067, also significant at the 0.1% level. This negative sign implies a short-run reversal dynamic: when SPY rose strongly the previous day, AAPL tends to fall slightly the following day, and vice versa. This is suggestive of an overshoot-and-correct pattern at the individual stock level relative to broad market movements. The lagged change in MSFT was not significant, meaning that MSFT's short-term movements carry no additional predictive power for AAPL beyond what is already captured by the equilibrium correction and SPY dynamics.</w:t>
      </w:r>
    </w:p>
    <w:p w14:paraId="311E87BD" w14:textId="77777777" w:rsidR="00A73048" w:rsidRPr="00A73048" w:rsidRDefault="00A73048" w:rsidP="00A73048">
      <w:pPr>
        <w:rPr>
          <w:b/>
          <w:bCs/>
        </w:rPr>
      </w:pPr>
      <w:r w:rsidRPr="00A73048">
        <w:rPr>
          <w:b/>
          <w:bCs/>
        </w:rPr>
        <w:t>4.3 Short-Run Dynamics: MSFT Equation</w:t>
      </w:r>
    </w:p>
    <w:p w14:paraId="7B4A304E" w14:textId="77777777" w:rsidR="00A73048" w:rsidRPr="00A73048" w:rsidRDefault="00A73048" w:rsidP="00A73048">
      <w:r w:rsidRPr="00A73048">
        <w:t>The MSFT equation was notably sparse in its short-run structure. None of the lagged difference terms — neither AAPL's, MSFT's own, nor SPY's — were statistically significant. The only significant predictor of MSFT's daily change was the error correction term itself. This implies that MSFT's short-run behaviour is essentially unpredictable from yesterday's price movements of any of the three series. Its dynamics in the short run are dominated by noise, with the long-run equilibrium constraint being the sole systematic force acting upon it. In a sense, MSFT is the most "efficient" of the three in the short run, with its predictable component confined entirely to the cointegrating relationship.</w:t>
      </w:r>
    </w:p>
    <w:p w14:paraId="682C0796" w14:textId="77777777" w:rsidR="00A73048" w:rsidRPr="00A73048" w:rsidRDefault="00A73048" w:rsidP="00A73048">
      <w:pPr>
        <w:rPr>
          <w:b/>
          <w:bCs/>
        </w:rPr>
      </w:pPr>
      <w:r w:rsidRPr="00A73048">
        <w:rPr>
          <w:b/>
          <w:bCs/>
        </w:rPr>
        <w:t>4.4 Short-Run Dynamics: SPY Equation</w:t>
      </w:r>
    </w:p>
    <w:p w14:paraId="7C2BEB04" w14:textId="77777777" w:rsidR="00A73048" w:rsidRPr="00A73048" w:rsidRDefault="00A73048" w:rsidP="00A73048">
      <w:r w:rsidRPr="00A73048">
        <w:t>The SPY equation mirrored a pattern similar to AAPL but with a different character. The error correction term was the most strongly significant of the three series (t = −4.83), reinforcing SPY's role as the fastest adjuster. In the short run, SPY's own lagged change entered with a coefficient of −0.084, significant at the 5% level, indicating a reversal or mean-reversion pattern in the index itself. When SPY rose the previous day, it tends to fall slightly the next, consistent with index-level microstructure and the well-documented daily reversal effect in broad market indices. Neither AAPL's nor MSFT's lagged changes were significant predictors of SPY, which is unsurprising given that SPY reflects hundreds of constituents and cannot be systematically driven by any single stock's daily movement.</w:t>
      </w:r>
    </w:p>
    <w:p w14:paraId="3BE3FD60" w14:textId="77777777" w:rsidR="00A73048" w:rsidRPr="00A73048" w:rsidRDefault="00A73048" w:rsidP="00A73048">
      <w:r w:rsidRPr="00A73048">
        <w:pict w14:anchorId="51210455">
          <v:rect id="_x0000_i1071" style="width:0;height:1.5pt" o:hralign="center" o:hrstd="t" o:hr="t" fillcolor="#a0a0a0" stroked="f"/>
        </w:pict>
      </w:r>
    </w:p>
    <w:p w14:paraId="347C2EB5" w14:textId="77777777" w:rsidR="00A73048" w:rsidRPr="00A73048" w:rsidRDefault="00A73048" w:rsidP="00A73048">
      <w:pPr>
        <w:rPr>
          <w:b/>
          <w:bCs/>
        </w:rPr>
      </w:pPr>
      <w:r w:rsidRPr="00A73048">
        <w:rPr>
          <w:b/>
          <w:bCs/>
        </w:rPr>
        <w:t>5. Model Fit</w:t>
      </w:r>
    </w:p>
    <w:p w14:paraId="1B189FA3" w14:textId="77777777" w:rsidR="00A73048" w:rsidRPr="00A73048" w:rsidRDefault="00A73048" w:rsidP="00A73048">
      <w:r w:rsidRPr="00A73048">
        <w:lastRenderedPageBreak/>
        <w:t>The R-squared values across all three equations were low, ranging from approximately 1.0% for MSFT to 1.8% for AAPL. This should not be interpreted as a failure of the model. Daily stock returns are well-established to be close to white noise in levels, and any model capable of explaining a large fraction of daily variance would represent an implausible degree of market inefficiency. The purpose of the VECM in this context is not to forecast daily price changes with precision, but to characterise the long-run structural relationship and adjustment mechanism among the series. On that dimension, the F-statistics across all three equations are highly significant (p-values ranging from 10</w:t>
      </w:r>
      <w:r w:rsidRPr="00A73048">
        <w:rPr>
          <w:rFonts w:ascii="Cambria Math" w:hAnsi="Cambria Math" w:cs="Cambria Math"/>
        </w:rPr>
        <w:t>⁻</w:t>
      </w:r>
      <w:r w:rsidRPr="00A73048">
        <w:rPr>
          <w:rFonts w:ascii="Aptos" w:hAnsi="Aptos" w:cs="Aptos"/>
        </w:rPr>
        <w:t>⁵</w:t>
      </w:r>
      <w:r w:rsidRPr="00A73048">
        <w:t xml:space="preserve"> to 10</w:t>
      </w:r>
      <w:r w:rsidRPr="00A73048">
        <w:rPr>
          <w:rFonts w:ascii="Cambria Math" w:hAnsi="Cambria Math" w:cs="Cambria Math"/>
        </w:rPr>
        <w:t>⁻</w:t>
      </w:r>
      <w:r w:rsidRPr="00A73048">
        <w:rPr>
          <w:rFonts w:ascii="Aptos" w:hAnsi="Aptos" w:cs="Aptos"/>
        </w:rPr>
        <w:t>¹⁰</w:t>
      </w:r>
      <w:r w:rsidRPr="00A73048">
        <w:t>), confirming that the model captures genuine systematic structure despite the low R-squared values.</w:t>
      </w:r>
    </w:p>
    <w:p w14:paraId="1AB0E771" w14:textId="77777777" w:rsidR="00A73048" w:rsidRPr="00A73048" w:rsidRDefault="00A73048" w:rsidP="00A73048">
      <w:r w:rsidRPr="00A73048">
        <w:pict w14:anchorId="7AB00BEA">
          <v:rect id="_x0000_i1072" style="width:0;height:1.5pt" o:hralign="center" o:hrstd="t" o:hr="t" fillcolor="#a0a0a0" stroked="f"/>
        </w:pict>
      </w:r>
    </w:p>
    <w:p w14:paraId="0FAB8882" w14:textId="77777777" w:rsidR="00A73048" w:rsidRPr="00A73048" w:rsidRDefault="00A73048" w:rsidP="00A73048">
      <w:pPr>
        <w:rPr>
          <w:b/>
          <w:bCs/>
        </w:rPr>
      </w:pPr>
      <w:r w:rsidRPr="00A73048">
        <w:rPr>
          <w:b/>
          <w:bCs/>
        </w:rPr>
        <w:t>6. Conclusions</w:t>
      </w:r>
    </w:p>
    <w:p w14:paraId="42A0AE61" w14:textId="77777777" w:rsidR="00A73048" w:rsidRPr="00A73048" w:rsidRDefault="00A73048" w:rsidP="00A73048">
      <w:r w:rsidRPr="00A73048">
        <w:t>The analysis provides strong evidence that AAPL, MSFT, and SPY are cointegrated with a single common long-run trend. The three assets are bound together by a stable equilibrium relationship, and any divergence from this relationship is systematically corrected across all three series. SPY adjusts most rapidly, suggesting the broad market index is the most sensitive to disequilibrium signals. AAPL exhibits the most informative short-run dynamics, displaying both own-momentum and a reversal pattern relative to lagged SPY movements. MSFT, by contrast, is short-run unpredictable and responds only to the long-run equilibrium force.</w:t>
      </w:r>
    </w:p>
    <w:p w14:paraId="294EA032" w14:textId="77777777" w:rsidR="00A73048" w:rsidRPr="00A73048" w:rsidRDefault="00A73048" w:rsidP="00A73048">
      <w:r w:rsidRPr="00A73048">
        <w:t>These findings have implications for portfolio construction and pairs trading. The existence of cointegration implies that spread-based strategies between these assets have a mean-reverting character, and the VECM loading coefficients provide a quantitative basis for estimating the speed at which such spreads revert. Future analysis could extend this framework through impulse response functions to trace the propagation of shocks across the system, and Granger causality testing within the VECM to formally assess directional information flows among the three assets.</w:t>
      </w:r>
    </w:p>
    <w:p w14:paraId="02EAB2B9" w14:textId="77777777" w:rsidR="00F558C6" w:rsidRPr="00A73048" w:rsidRDefault="00F558C6" w:rsidP="00A73048"/>
    <w:sectPr w:rsidR="00F558C6" w:rsidRPr="00A73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41F62"/>
    <w:multiLevelType w:val="multilevel"/>
    <w:tmpl w:val="5E78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96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3B3"/>
    <w:rsid w:val="002523A9"/>
    <w:rsid w:val="00280811"/>
    <w:rsid w:val="00514595"/>
    <w:rsid w:val="00663FBC"/>
    <w:rsid w:val="00A576F8"/>
    <w:rsid w:val="00A73048"/>
    <w:rsid w:val="00D753B3"/>
    <w:rsid w:val="00F55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D1601A-01E7-45D6-9B26-2D7C8CF3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3B3"/>
    <w:rPr>
      <w:rFonts w:eastAsiaTheme="majorEastAsia" w:cstheme="majorBidi"/>
      <w:color w:val="272727" w:themeColor="text1" w:themeTint="D8"/>
    </w:rPr>
  </w:style>
  <w:style w:type="paragraph" w:styleId="Title">
    <w:name w:val="Title"/>
    <w:basedOn w:val="Normal"/>
    <w:next w:val="Normal"/>
    <w:link w:val="TitleChar"/>
    <w:uiPriority w:val="10"/>
    <w:qFormat/>
    <w:rsid w:val="00D75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3B3"/>
    <w:pPr>
      <w:spacing w:before="160"/>
      <w:jc w:val="center"/>
    </w:pPr>
    <w:rPr>
      <w:i/>
      <w:iCs/>
      <w:color w:val="404040" w:themeColor="text1" w:themeTint="BF"/>
    </w:rPr>
  </w:style>
  <w:style w:type="character" w:customStyle="1" w:styleId="QuoteChar">
    <w:name w:val="Quote Char"/>
    <w:basedOn w:val="DefaultParagraphFont"/>
    <w:link w:val="Quote"/>
    <w:uiPriority w:val="29"/>
    <w:rsid w:val="00D753B3"/>
    <w:rPr>
      <w:i/>
      <w:iCs/>
      <w:color w:val="404040" w:themeColor="text1" w:themeTint="BF"/>
    </w:rPr>
  </w:style>
  <w:style w:type="paragraph" w:styleId="ListParagraph">
    <w:name w:val="List Paragraph"/>
    <w:basedOn w:val="Normal"/>
    <w:uiPriority w:val="34"/>
    <w:qFormat/>
    <w:rsid w:val="00D753B3"/>
    <w:pPr>
      <w:ind w:left="720"/>
      <w:contextualSpacing/>
    </w:pPr>
  </w:style>
  <w:style w:type="character" w:styleId="IntenseEmphasis">
    <w:name w:val="Intense Emphasis"/>
    <w:basedOn w:val="DefaultParagraphFont"/>
    <w:uiPriority w:val="21"/>
    <w:qFormat/>
    <w:rsid w:val="00D753B3"/>
    <w:rPr>
      <w:i/>
      <w:iCs/>
      <w:color w:val="0F4761" w:themeColor="accent1" w:themeShade="BF"/>
    </w:rPr>
  </w:style>
  <w:style w:type="paragraph" w:styleId="IntenseQuote">
    <w:name w:val="Intense Quote"/>
    <w:basedOn w:val="Normal"/>
    <w:next w:val="Normal"/>
    <w:link w:val="IntenseQuoteChar"/>
    <w:uiPriority w:val="30"/>
    <w:qFormat/>
    <w:rsid w:val="00D75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3B3"/>
    <w:rPr>
      <w:i/>
      <w:iCs/>
      <w:color w:val="0F4761" w:themeColor="accent1" w:themeShade="BF"/>
    </w:rPr>
  </w:style>
  <w:style w:type="character" w:styleId="IntenseReference">
    <w:name w:val="Intense Reference"/>
    <w:basedOn w:val="DefaultParagraphFont"/>
    <w:uiPriority w:val="32"/>
    <w:qFormat/>
    <w:rsid w:val="00D75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4</Pages>
  <Words>1406</Words>
  <Characters>8018</Characters>
  <Application>Microsoft Office Word</Application>
  <DocSecurity>0</DocSecurity>
  <Lines>66</Lines>
  <Paragraphs>18</Paragraphs>
  <ScaleCrop>false</ScaleCrop>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3</cp:revision>
  <dcterms:created xsi:type="dcterms:W3CDTF">2026-06-04T20:47:00Z</dcterms:created>
  <dcterms:modified xsi:type="dcterms:W3CDTF">2026-06-06T21:59:00Z</dcterms:modified>
</cp:coreProperties>
</file>