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2"/>
        </w:rPr>
        <w:t>A COMPARATIVE EVALUATION OF ZERO SHOT AND FEW SHOT PROMPTING STRATEGIES FOR ENHANCING COMPLEX REASONING IN LARGE LANGUAGE MODELS</w:t>
      </w:r>
    </w:p>
    <w:p>
      <w:pPr>
        <w:spacing w:after="120"/>
        <w:jc w:val="center"/>
      </w:pPr>
      <w:r>
        <w:rPr>
          <w:rFonts w:ascii="Times New Roman" w:hAnsi="Times New Roman" w:eastAsia="Times New Roman"/>
          <w:b w:val="0"/>
          <w:i w:val="0"/>
          <w:sz w:val="24"/>
        </w:rPr>
        <w:t>A</w:t>
      </w:r>
    </w:p>
    <w:p>
      <w:pPr>
        <w:spacing w:after="120"/>
        <w:jc w:val="center"/>
      </w:pPr>
      <w:r>
        <w:rPr>
          <w:rFonts w:ascii="Times New Roman" w:hAnsi="Times New Roman" w:eastAsia="Times New Roman"/>
          <w:b w:val="0"/>
          <w:i w:val="0"/>
          <w:sz w:val="24"/>
        </w:rPr>
        <w:t>Report on</w:t>
      </w:r>
    </w:p>
    <w:p>
      <w:pPr>
        <w:spacing w:after="0"/>
        <w:jc w:val="center"/>
      </w:pPr>
      <w:r>
        <w:rPr>
          <w:rFonts w:ascii="Times New Roman" w:hAnsi="Times New Roman" w:eastAsia="Times New Roman"/>
          <w:b/>
          <w:i w:val="0"/>
          <w:sz w:val="28"/>
        </w:rPr>
        <w:t>Prompt Engineering</w:t>
      </w:r>
    </w:p>
    <w:p>
      <w:pPr>
        <w:spacing w:after="280"/>
        <w:jc w:val="center"/>
      </w:pPr>
      <w:r>
        <w:rPr>
          <w:rFonts w:ascii="Times New Roman" w:hAnsi="Times New Roman" w:eastAsia="Times New Roman"/>
          <w:b/>
          <w:i w:val="0"/>
          <w:sz w:val="28"/>
        </w:rPr>
        <w:t>IS4143</w:t>
      </w:r>
    </w:p>
    <w:p>
      <w:pPr>
        <w:spacing w:after="120"/>
        <w:jc w:val="center"/>
      </w:pPr>
      <w:r>
        <w:rPr>
          <w:rFonts w:ascii="Times New Roman" w:hAnsi="Times New Roman" w:eastAsia="Times New Roman"/>
          <w:b w:val="0"/>
          <w:i w:val="0"/>
          <w:sz w:val="24"/>
        </w:rPr>
        <w:t>Submitted in the partial fulfilment of the requirement for the award of the degree of</w:t>
      </w:r>
    </w:p>
    <w:p>
      <w:pPr>
        <w:spacing w:after="80"/>
        <w:jc w:val="center"/>
      </w:pPr>
      <w:r>
        <w:rPr>
          <w:rFonts w:ascii="Times New Roman" w:hAnsi="Times New Roman" w:eastAsia="Times New Roman"/>
          <w:b/>
          <w:i w:val="0"/>
          <w:sz w:val="28"/>
        </w:rPr>
        <w:t>Bachelor of Technology</w:t>
      </w:r>
    </w:p>
    <w:p>
      <w:pPr>
        <w:spacing w:after="80"/>
        <w:jc w:val="center"/>
      </w:pPr>
      <w:r>
        <w:rPr>
          <w:rFonts w:ascii="Times New Roman" w:hAnsi="Times New Roman" w:eastAsia="Times New Roman"/>
          <w:b w:val="0"/>
          <w:i w:val="0"/>
          <w:sz w:val="24"/>
        </w:rPr>
        <w:t>in</w:t>
      </w:r>
    </w:p>
    <w:p>
      <w:pPr>
        <w:spacing w:after="80"/>
        <w:jc w:val="center"/>
      </w:pPr>
      <w:r>
        <w:rPr>
          <w:rFonts w:ascii="Times New Roman" w:hAnsi="Times New Roman" w:eastAsia="Times New Roman"/>
          <w:b/>
          <w:i w:val="0"/>
          <w:sz w:val="24"/>
        </w:rPr>
        <w:t>Computer Science &amp; Engineering (IoT &amp; Intelligent Systems)</w:t>
      </w:r>
    </w:p>
    <w:p>
      <w:pPr>
        <w:spacing w:after="200"/>
        <w:jc w:val="center"/>
      </w:pPr>
      <w:r>
        <w:rPr>
          <w:rFonts w:ascii="Times New Roman" w:hAnsi="Times New Roman" w:eastAsia="Times New Roman"/>
          <w:b w:val="0"/>
          <w:i w:val="0"/>
          <w:sz w:val="24"/>
        </w:rPr>
        <w:t>2023-2027</w:t>
      </w:r>
    </w:p>
    <w:p>
      <w:pPr>
        <w:spacing w:after="80"/>
        <w:jc w:val="center"/>
      </w:pPr>
      <w:r>
        <w:rPr>
          <w:rFonts w:ascii="Times New Roman" w:hAnsi="Times New Roman" w:eastAsia="Times New Roman"/>
          <w:b w:val="0"/>
          <w:i w:val="0"/>
          <w:sz w:val="24"/>
        </w:rPr>
        <w:t>By:</w:t>
      </w:r>
    </w:p>
    <w:p>
      <w:pPr>
        <w:spacing w:after="0"/>
        <w:jc w:val="center"/>
      </w:pPr>
      <w:r>
        <w:rPr>
          <w:rFonts w:ascii="Times New Roman" w:hAnsi="Times New Roman" w:eastAsia="Times New Roman"/>
          <w:b/>
          <w:i w:val="0"/>
          <w:sz w:val="24"/>
        </w:rPr>
        <w:t>AYUSH ANAND</w:t>
      </w:r>
    </w:p>
    <w:p>
      <w:pPr>
        <w:spacing w:after="0"/>
        <w:jc w:val="center"/>
      </w:pPr>
      <w:r>
        <w:rPr>
          <w:rFonts w:ascii="Times New Roman" w:hAnsi="Times New Roman" w:eastAsia="Times New Roman"/>
          <w:b/>
          <w:i w:val="0"/>
          <w:sz w:val="24"/>
        </w:rPr>
        <w:t>23FE10CII00144</w:t>
      </w:r>
    </w:p>
    <w:p>
      <w:pPr>
        <w:spacing w:after="360"/>
        <w:jc w:val="center"/>
      </w:pPr>
      <w:r>
        <w:rPr>
          <w:rFonts w:ascii="Times New Roman" w:hAnsi="Times New Roman" w:eastAsia="Times New Roman"/>
          <w:b w:val="0"/>
          <w:i w:val="0"/>
          <w:sz w:val="24"/>
        </w:rPr>
        <w:t>Semester: 7</w:t>
      </w:r>
    </w:p>
    <w:p>
      <w:pPr>
        <w:spacing w:after="0"/>
        <w:jc w:val="center"/>
      </w:pPr>
      <w:r>
        <w:rPr>
          <w:rFonts w:ascii="Times New Roman" w:hAnsi="Times New Roman" w:eastAsia="Times New Roman"/>
          <w:b/>
          <w:i w:val="0"/>
          <w:sz w:val="24"/>
        </w:rPr>
        <w:t>School of Computer Science and Engineering</w:t>
      </w:r>
    </w:p>
    <w:p>
      <w:pPr>
        <w:spacing w:after="0"/>
        <w:jc w:val="center"/>
      </w:pPr>
      <w:r>
        <w:rPr>
          <w:rFonts w:ascii="Times New Roman" w:hAnsi="Times New Roman" w:eastAsia="Times New Roman"/>
          <w:b/>
          <w:i w:val="0"/>
          <w:sz w:val="24"/>
        </w:rPr>
        <w:t>Department of IoT &amp; Intelligent Systems</w:t>
      </w:r>
    </w:p>
    <w:p>
      <w:pPr>
        <w:spacing w:after="0"/>
        <w:jc w:val="center"/>
      </w:pPr>
      <w:r>
        <w:rPr>
          <w:rFonts w:ascii="Times New Roman" w:hAnsi="Times New Roman" w:eastAsia="Times New Roman"/>
          <w:b/>
          <w:i w:val="0"/>
          <w:sz w:val="24"/>
        </w:rPr>
        <w:t>Manipal University Jaipur</w:t>
      </w:r>
    </w:p>
    <w:p>
      <w:pPr>
        <w:spacing w:after="80"/>
        <w:jc w:val="center"/>
      </w:pPr>
      <w:r>
        <w:rPr>
          <w:rFonts w:ascii="Times New Roman" w:hAnsi="Times New Roman" w:eastAsia="Times New Roman"/>
          <w:b w:val="0"/>
          <w:i w:val="0"/>
          <w:sz w:val="24"/>
        </w:rPr>
        <w:t>Jaipur, Rajasthan</w:t>
      </w:r>
    </w:p>
    <w:p>
      <w:pPr>
        <w:spacing w:after="0"/>
        <w:jc w:val="center"/>
      </w:pPr>
      <w:r>
        <w:rPr>
          <w:rFonts w:ascii="Times New Roman" w:hAnsi="Times New Roman" w:eastAsia="Times New Roman"/>
          <w:b/>
          <w:i w:val="0"/>
          <w:sz w:val="24"/>
        </w:rPr>
        <w:t>July-Nov 2026</w:t>
      </w:r>
    </w:p>
    <w:p>
      <w:r>
        <w:br w:type="page"/>
      </w:r>
    </w:p>
    <w:p>
      <w:pPr>
        <w:spacing w:after="160"/>
        <w:jc w:val="center"/>
      </w:pPr>
      <w:r>
        <w:rPr>
          <w:rFonts w:ascii="Times New Roman" w:hAnsi="Times New Roman" w:eastAsia="Times New Roman"/>
          <w:b/>
          <w:i w:val="0"/>
          <w:sz w:val="32"/>
        </w:rPr>
        <w:t>CONTENTS</w:t>
      </w:r>
    </w:p>
    <w:p>
      <w:pPr>
        <w:spacing w:line="360" w:lineRule="auto"/>
        <w:ind w:left="1728"/>
      </w:pPr>
      <w:r>
        <w:rPr>
          <w:rFonts w:ascii="Times New Roman" w:hAnsi="Times New Roman"/>
          <w:sz w:val="24"/>
        </w:rPr>
        <w:t>1.  Introduction</w:t>
      </w:r>
    </w:p>
    <w:p>
      <w:pPr>
        <w:spacing w:line="360" w:lineRule="auto"/>
        <w:ind w:left="1728"/>
      </w:pPr>
      <w:r>
        <w:rPr>
          <w:rFonts w:ascii="Times New Roman" w:hAnsi="Times New Roman"/>
          <w:sz w:val="24"/>
        </w:rPr>
        <w:t>2.  Problem Statement</w:t>
      </w:r>
    </w:p>
    <w:p>
      <w:pPr>
        <w:spacing w:line="360" w:lineRule="auto"/>
        <w:ind w:left="1728"/>
      </w:pPr>
      <w:r>
        <w:rPr>
          <w:rFonts w:ascii="Times New Roman" w:hAnsi="Times New Roman"/>
          <w:sz w:val="24"/>
        </w:rPr>
        <w:t>3.  Project Objectives</w:t>
      </w:r>
    </w:p>
    <w:p>
      <w:pPr>
        <w:spacing w:line="360" w:lineRule="auto"/>
        <w:ind w:left="1728"/>
      </w:pPr>
      <w:r>
        <w:rPr>
          <w:rFonts w:ascii="Times New Roman" w:hAnsi="Times New Roman"/>
          <w:sz w:val="24"/>
        </w:rPr>
        <w:t>4.  Literature Review</w:t>
      </w:r>
    </w:p>
    <w:p>
      <w:pPr>
        <w:spacing w:line="360" w:lineRule="auto"/>
        <w:ind w:left="1728"/>
      </w:pPr>
      <w:r>
        <w:rPr>
          <w:rFonts w:ascii="Times New Roman" w:hAnsi="Times New Roman"/>
          <w:sz w:val="24"/>
        </w:rPr>
        <w:t>5.  Methodology</w:t>
      </w:r>
    </w:p>
    <w:p>
      <w:pPr>
        <w:spacing w:line="360" w:lineRule="auto"/>
        <w:ind w:left="1728"/>
      </w:pPr>
      <w:r>
        <w:rPr>
          <w:rFonts w:ascii="Times New Roman" w:hAnsi="Times New Roman"/>
          <w:sz w:val="24"/>
        </w:rPr>
        <w:t>6.  Result and Discussions</w:t>
      </w:r>
    </w:p>
    <w:p>
      <w:pPr>
        <w:spacing w:line="360" w:lineRule="auto"/>
        <w:ind w:left="1728"/>
      </w:pPr>
      <w:r>
        <w:rPr>
          <w:rFonts w:ascii="Times New Roman" w:hAnsi="Times New Roman"/>
          <w:sz w:val="24"/>
        </w:rPr>
        <w:t>7.  Challenges and Limitations</w:t>
      </w:r>
    </w:p>
    <w:p>
      <w:pPr>
        <w:spacing w:line="360" w:lineRule="auto"/>
        <w:ind w:left="1728"/>
      </w:pPr>
      <w:r>
        <w:rPr>
          <w:rFonts w:ascii="Times New Roman" w:hAnsi="Times New Roman"/>
          <w:sz w:val="24"/>
        </w:rPr>
        <w:t>8.  Future Work</w:t>
      </w:r>
    </w:p>
    <w:p>
      <w:pPr>
        <w:spacing w:line="360" w:lineRule="auto"/>
        <w:ind w:left="1728"/>
      </w:pPr>
      <w:r>
        <w:rPr>
          <w:rFonts w:ascii="Times New Roman" w:hAnsi="Times New Roman"/>
          <w:sz w:val="24"/>
        </w:rPr>
        <w:t>9.  Conclusion</w:t>
      </w:r>
    </w:p>
    <w:p>
      <w:pPr>
        <w:spacing w:line="360" w:lineRule="auto"/>
        <w:ind w:left="1728"/>
      </w:pPr>
      <w:r>
        <w:rPr>
          <w:rFonts w:ascii="Times New Roman" w:hAnsi="Times New Roman"/>
          <w:sz w:val="24"/>
        </w:rPr>
        <w:t>10.  References</w:t>
      </w:r>
    </w:p>
    <w:p>
      <w:r>
        <w:br w:type="page"/>
      </w:r>
    </w:p>
    <w:p>
      <w:pPr>
        <w:keepNext/>
        <w:spacing w:before="200"/>
        <w:jc w:val="left"/>
      </w:pPr>
      <w:r>
        <w:rPr>
          <w:rFonts w:ascii="Times New Roman" w:hAnsi="Times New Roman" w:eastAsia="Times New Roman"/>
          <w:b/>
          <w:sz w:val="28"/>
        </w:rPr>
        <w:t>1. Introduction</w:t>
      </w:r>
    </w:p>
    <w:p>
      <w:pPr>
        <w:jc w:val="both"/>
      </w:pPr>
      <w:r>
        <w:rPr>
          <w:rFonts w:ascii="Times New Roman" w:hAnsi="Times New Roman" w:eastAsia="Times New Roman"/>
          <w:sz w:val="24"/>
        </w:rPr>
        <w:t>Large language models (LLMs) now perform a wide range of tasks without any task-specific training. Instead of updating model weights, users steer the model through its input, the prompt. This practice, called prompt engineering, has become the main way of adapting a model for a given use. Brown et al. showed that a sufficiently large model can learn a task from a handful of worked examples placed in the prompt, which is known as few-shot or in-context learning [1]. The opposite extreme, zero-shot prompting, gives the model only an instruction and the question.</w:t>
      </w:r>
    </w:p>
    <w:p>
      <w:pPr>
        <w:jc w:val="both"/>
      </w:pPr>
      <w:r>
        <w:rPr>
          <w:rFonts w:ascii="Times New Roman" w:hAnsi="Times New Roman" w:eastAsia="Times New Roman"/>
          <w:sz w:val="24"/>
        </w:rPr>
        <w:t>Reasoning tasks expose the weaknesses of both styles. A question such as a multi-step arithmetic word problem or a date calculation needs several intermediate inferences, and a model asked to answer in one step often fails. Wei et al. found that showing worked reasoning in the examples, known as chain-of-thought (CoT) prompting, greatly improves accuracy on such problems [2], and Kojima et al. showed that even the single phrase "Let's think step by step" can elicit this behaviour without any examples [3]. These findings suggest that two separate choices matter: whether the prompt contains examples, and whether the model is encouraged to reason aloud. Practitioners rarely see these two choices measured separately, and the cost of each in tokens and time is seldom reported. This matters in practice: a customer-support bot that works out a refund, or a scheduling assistant that must compute a deadline, can succeed or fail depending only on how its prompt is written.</w:t>
      </w:r>
    </w:p>
    <w:p>
      <w:pPr>
        <w:jc w:val="both"/>
      </w:pPr>
      <w:r>
        <w:rPr>
          <w:rFonts w:ascii="Times New Roman" w:hAnsi="Times New Roman" w:eastAsia="Times New Roman"/>
          <w:sz w:val="24"/>
        </w:rPr>
        <w:t>This project therefore runs a controlled comparison of four prompting strategies (zero-shot, zero-shot CoT, few-shot and few-shot CoT) on three reasoning benchmarks and two open-weight models of different sizes. All prompts, code and raw model outputs are released with this report so that every number can be reproduced.</w:t>
      </w:r>
    </w:p>
    <w:p>
      <w:pPr>
        <w:keepNext/>
        <w:spacing w:before="200"/>
        <w:jc w:val="left"/>
      </w:pPr>
      <w:r>
        <w:rPr>
          <w:rFonts w:ascii="Times New Roman" w:hAnsi="Times New Roman" w:eastAsia="Times New Roman"/>
          <w:b/>
          <w:sz w:val="28"/>
        </w:rPr>
        <w:t>2. Problem Statement</w:t>
      </w:r>
    </w:p>
    <w:p>
      <w:pPr>
        <w:jc w:val="both"/>
      </w:pPr>
      <w:r>
        <w:rPr>
          <w:rFonts w:ascii="Times New Roman" w:hAnsi="Times New Roman" w:eastAsia="Times New Roman"/>
          <w:sz w:val="24"/>
        </w:rPr>
        <w:t>Prompt design is usually guided by anecdote. It is unclear how much of the accuracy on complex reasoning comes from adding examples, how much from eliciting step-by-step reasoning, and how much extra output the model has to produce to obtain it. The effect may also depend on the model's size and on the kind of reasoning required (arithmetic, commonsense or temporal). A practitioner choosing a prompting strategy for a reasoning application therefore lacks evidence on which strategy gives the best accuracy for an acceptable cost on a given model. This project addresses that gap with a controlled, reproducible empirical comparison.</w:t>
      </w:r>
    </w:p>
    <w:p>
      <w:pPr>
        <w:keepNext/>
        <w:spacing w:before="200"/>
        <w:jc w:val="left"/>
      </w:pPr>
      <w:r>
        <w:rPr>
          <w:rFonts w:ascii="Times New Roman" w:hAnsi="Times New Roman" w:eastAsia="Times New Roman"/>
          <w:b/>
          <w:sz w:val="28"/>
        </w:rPr>
        <w:t>3. Project Objectives</w:t>
      </w:r>
    </w:p>
    <w:p>
      <w:pPr>
        <w:ind w:left="576" w:hanging="432"/>
        <w:jc w:val="both"/>
      </w:pPr>
      <w:r>
        <w:rPr>
          <w:rFonts w:ascii="Times New Roman" w:hAnsi="Times New Roman" w:eastAsia="Times New Roman"/>
          <w:sz w:val="24"/>
        </w:rPr>
        <w:t>1.  To implement four prompting strategies (zero-shot, zero-shot CoT, few-shot, few-shot CoT) with identical task instructions and answer formats.</w:t>
      </w:r>
    </w:p>
    <w:p>
      <w:pPr>
        <w:ind w:left="576" w:hanging="432"/>
        <w:jc w:val="both"/>
      </w:pPr>
      <w:r>
        <w:rPr>
          <w:rFonts w:ascii="Times New Roman" w:hAnsi="Times New Roman" w:eastAsia="Times New Roman"/>
          <w:sz w:val="24"/>
        </w:rPr>
        <w:t>2.  To measure the accuracy of each strategy on arithmetic (GSM8K), commonsense (StrategyQA) and temporal (Date Understanding) reasoning tasks.</w:t>
      </w:r>
    </w:p>
    <w:p>
      <w:pPr>
        <w:ind w:left="576" w:hanging="432"/>
        <w:jc w:val="both"/>
      </w:pPr>
      <w:r>
        <w:rPr>
          <w:rFonts w:ascii="Times New Roman" w:hAnsi="Times New Roman" w:eastAsia="Times New Roman"/>
          <w:sz w:val="24"/>
        </w:rPr>
        <w:t>3.  To test whether the observed differences between strategies are statistically significant, using an exact McNemar test.</w:t>
      </w:r>
    </w:p>
    <w:p>
      <w:pPr>
        <w:ind w:left="576" w:hanging="432"/>
        <w:jc w:val="both"/>
      </w:pPr>
      <w:r>
        <w:rPr>
          <w:rFonts w:ascii="Times New Roman" w:hAnsi="Times New Roman" w:eastAsia="Times New Roman"/>
          <w:sz w:val="24"/>
        </w:rPr>
        <w:t>4.  To quantify the cost of each strategy in generated tokens, and to compare a small and a medium-sized model.</w:t>
      </w:r>
    </w:p>
    <w:p>
      <w:pPr>
        <w:ind w:left="576" w:hanging="432"/>
        <w:jc w:val="both"/>
      </w:pPr>
      <w:r>
        <w:rPr>
          <w:rFonts w:ascii="Times New Roman" w:hAnsi="Times New Roman" w:eastAsia="Times New Roman"/>
          <w:sz w:val="24"/>
        </w:rPr>
        <w:t>5.  To identify, through manual error analysis, the typical ways in which each strategy fails.</w:t>
      </w:r>
    </w:p>
    <w:p>
      <w:pPr>
        <w:keepNext/>
        <w:spacing w:before="200"/>
        <w:jc w:val="left"/>
      </w:pPr>
      <w:r>
        <w:rPr>
          <w:rFonts w:ascii="Times New Roman" w:hAnsi="Times New Roman" w:eastAsia="Times New Roman"/>
          <w:b/>
          <w:sz w:val="28"/>
        </w:rPr>
        <w:t>4. Literature Review</w:t>
      </w:r>
    </w:p>
    <w:p>
      <w:pPr>
        <w:jc w:val="both"/>
      </w:pPr>
      <w:r>
        <w:rPr>
          <w:rFonts w:ascii="Times New Roman" w:hAnsi="Times New Roman" w:eastAsia="Times New Roman"/>
          <w:b/>
          <w:sz w:val="24"/>
        </w:rPr>
        <w:t>In-context learning.</w:t>
      </w:r>
      <w:r>
        <w:rPr>
          <w:rFonts w:ascii="Times New Roman" w:hAnsi="Times New Roman" w:eastAsia="Times New Roman"/>
          <w:sz w:val="24"/>
        </w:rPr>
        <w:t xml:space="preserve"> Brown et al. introduced the idea that large autoregressive models can perform new tasks from a few demonstrations in the prompt, with no gradient updates [1]. Later work questioned what the demonstrations contribute. Min et al. found that replacing the labels in the examples with random ones hurts performance surprisingly little, suggesting that examples mostly convey the format and the input distribution [8]. Few-shot results are also fragile: they depend on the choice, the order and the label balance of the examples [11], [15], and irrelevant text in the prompt can mislead the model [12].</w:t>
      </w:r>
    </w:p>
    <w:p>
      <w:pPr>
        <w:jc w:val="both"/>
      </w:pPr>
      <w:r>
        <w:rPr>
          <w:rFonts w:ascii="Times New Roman" w:hAnsi="Times New Roman" w:eastAsia="Times New Roman"/>
          <w:b/>
          <w:sz w:val="24"/>
        </w:rPr>
        <w:t>Eliciting reasoning.</w:t>
      </w:r>
      <w:r>
        <w:rPr>
          <w:rFonts w:ascii="Times New Roman" w:hAnsi="Times New Roman" w:eastAsia="Times New Roman"/>
          <w:sz w:val="24"/>
        </w:rPr>
        <w:t xml:space="preserve"> Wei et al. showed that adding intermediate reasoning steps to the examples (chain of thought) sharply improves arithmetic, commonsense and symbolic reasoning, but mainly in sufficiently large models [2]. Kojima et al. found that a zero-shot trigger phrase is enough to obtain much of this benefit [3]. Suzgun et al. showed that CoT lifts a model over the average human rater on many BIG-Bench Hard tasks [13], while Sprague et al.'s meta-analysis of over a hundred papers concluded that the benefit is concentrated on math and symbolic problems and is small elsewhere [14]. Zhang et al. proposed building the demonstrations automatically [10].</w:t>
      </w:r>
    </w:p>
    <w:p>
      <w:pPr>
        <w:jc w:val="both"/>
      </w:pPr>
      <w:r>
        <w:rPr>
          <w:rFonts w:ascii="Times New Roman" w:hAnsi="Times New Roman" w:eastAsia="Times New Roman"/>
          <w:b/>
          <w:sz w:val="24"/>
        </w:rPr>
        <w:t>Beyond a single chain.</w:t>
      </w:r>
      <w:r>
        <w:rPr>
          <w:rFonts w:ascii="Times New Roman" w:hAnsi="Times New Roman" w:eastAsia="Times New Roman"/>
          <w:sz w:val="24"/>
        </w:rPr>
        <w:t xml:space="preserve"> Self-consistency samples several reasoning paths and takes a majority vote, improving accuracy at higher cost [4]. Least-to-most prompting decomposes a problem into easier sub-problems [9], and Tree of Thoughts searches over alternative reasoning branches [17]. Cobbe et al. introduced GSM8K together with a trained verifier to select among candidate solutions [5]. Surveys such as Sahoo et al. catalogue these techniques [16].</w:t>
      </w:r>
    </w:p>
    <w:p>
      <w:pPr>
        <w:keepNext/>
        <w:spacing w:line="240" w:lineRule="auto" w:before="120"/>
        <w:jc w:val="center"/>
      </w:pPr>
      <w:r>
        <w:rPr>
          <w:rFonts w:ascii="Times New Roman" w:hAnsi="Times New Roman" w:eastAsia="Times New Roman"/>
          <w:b/>
          <w:sz w:val="22"/>
        </w:rPr>
        <w:t>Table 1: Summary of closely related 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E2F3"/>
          </w:tcPr>
          <w:p>
            <w:pPr>
              <w:spacing w:line="240" w:lineRule="auto"/>
              <w:jc w:val="center"/>
            </w:pPr>
            <w:r/>
            <w:r>
              <w:rPr>
                <w:rFonts w:ascii="Times New Roman" w:hAnsi="Times New Roman" w:eastAsia="Times New Roman"/>
                <w:b/>
                <w:sz w:val="18"/>
              </w:rPr>
              <w:t>Work</w:t>
            </w:r>
          </w:p>
        </w:tc>
        <w:tc>
          <w:tcPr>
            <w:tcW w:type="dxa" w:w="2016"/>
            <w:shd w:val="clear" w:color="auto" w:fill="D9E2F3"/>
          </w:tcPr>
          <w:p>
            <w:pPr>
              <w:spacing w:line="240" w:lineRule="auto"/>
              <w:jc w:val="center"/>
            </w:pPr>
            <w:r/>
            <w:r>
              <w:rPr>
                <w:rFonts w:ascii="Times New Roman" w:hAnsi="Times New Roman" w:eastAsia="Times New Roman"/>
                <w:b/>
                <w:sz w:val="18"/>
              </w:rPr>
              <w:t>Technique</w:t>
            </w:r>
          </w:p>
        </w:tc>
        <w:tc>
          <w:tcPr>
            <w:tcW w:type="dxa" w:w="2880"/>
            <w:shd w:val="clear" w:color="auto" w:fill="D9E2F3"/>
          </w:tcPr>
          <w:p>
            <w:pPr>
              <w:spacing w:line="240" w:lineRule="auto"/>
              <w:jc w:val="center"/>
            </w:pPr>
            <w:r/>
            <w:r>
              <w:rPr>
                <w:rFonts w:ascii="Times New Roman" w:hAnsi="Times New Roman" w:eastAsia="Times New Roman"/>
                <w:b/>
                <w:sz w:val="18"/>
              </w:rPr>
              <w:t>Main finding</w:t>
            </w:r>
          </w:p>
        </w:tc>
        <w:tc>
          <w:tcPr>
            <w:tcW w:type="dxa" w:w="2736"/>
            <w:shd w:val="clear" w:color="auto" w:fill="D9E2F3"/>
          </w:tcPr>
          <w:p>
            <w:pPr>
              <w:spacing w:line="240" w:lineRule="auto"/>
              <w:jc w:val="center"/>
            </w:pPr>
            <w:r/>
            <w:r>
              <w:rPr>
                <w:rFonts w:ascii="Times New Roman" w:hAnsi="Times New Roman" w:eastAsia="Times New Roman"/>
                <w:b/>
                <w:sz w:val="18"/>
              </w:rPr>
              <w:t>Gap addressed here</w:t>
            </w:r>
          </w:p>
        </w:tc>
      </w:tr>
      <w:tr>
        <w:tc>
          <w:tcPr>
            <w:tcW w:type="dxa" w:w="1728"/>
          </w:tcPr>
          <w:p>
            <w:pPr>
              <w:spacing w:line="240" w:lineRule="auto"/>
              <w:jc w:val="left"/>
            </w:pPr>
            <w:r/>
            <w:r>
              <w:rPr>
                <w:rFonts w:ascii="Times New Roman" w:hAnsi="Times New Roman" w:eastAsia="Times New Roman"/>
                <w:sz w:val="18"/>
              </w:rPr>
              <w:t>Brown et al. [1]</w:t>
            </w:r>
          </w:p>
        </w:tc>
        <w:tc>
          <w:tcPr>
            <w:tcW w:type="dxa" w:w="2016"/>
          </w:tcPr>
          <w:p>
            <w:pPr>
              <w:spacing w:line="240" w:lineRule="auto"/>
              <w:jc w:val="left"/>
            </w:pPr>
            <w:r/>
            <w:r>
              <w:rPr>
                <w:rFonts w:ascii="Times New Roman" w:hAnsi="Times New Roman" w:eastAsia="Times New Roman"/>
                <w:sz w:val="18"/>
              </w:rPr>
              <w:t>Few-shot prompting</w:t>
            </w:r>
          </w:p>
        </w:tc>
        <w:tc>
          <w:tcPr>
            <w:tcW w:type="dxa" w:w="2880"/>
          </w:tcPr>
          <w:p>
            <w:pPr>
              <w:spacing w:line="240" w:lineRule="auto"/>
              <w:jc w:val="left"/>
            </w:pPr>
            <w:r/>
            <w:r>
              <w:rPr>
                <w:rFonts w:ascii="Times New Roman" w:hAnsi="Times New Roman" w:eastAsia="Times New Roman"/>
                <w:sz w:val="18"/>
              </w:rPr>
              <w:t>Examples in the prompt enable new tasks</w:t>
            </w:r>
          </w:p>
        </w:tc>
        <w:tc>
          <w:tcPr>
            <w:tcW w:type="dxa" w:w="2736"/>
          </w:tcPr>
          <w:p>
            <w:pPr>
              <w:spacing w:line="240" w:lineRule="auto"/>
              <w:jc w:val="left"/>
            </w:pPr>
            <w:r/>
            <w:r>
              <w:rPr>
                <w:rFonts w:ascii="Times New Roman" w:hAnsi="Times New Roman" w:eastAsia="Times New Roman"/>
                <w:sz w:val="18"/>
              </w:rPr>
              <w:t>Effect of examples vs. reasoning</w:t>
            </w:r>
          </w:p>
        </w:tc>
      </w:tr>
      <w:tr>
        <w:tc>
          <w:tcPr>
            <w:tcW w:type="dxa" w:w="1728"/>
          </w:tcPr>
          <w:p>
            <w:pPr>
              <w:spacing w:line="240" w:lineRule="auto"/>
              <w:jc w:val="left"/>
            </w:pPr>
            <w:r/>
            <w:r>
              <w:rPr>
                <w:rFonts w:ascii="Times New Roman" w:hAnsi="Times New Roman" w:eastAsia="Times New Roman"/>
                <w:sz w:val="18"/>
              </w:rPr>
              <w:t>Min et al. [8]</w:t>
            </w:r>
          </w:p>
        </w:tc>
        <w:tc>
          <w:tcPr>
            <w:tcW w:type="dxa" w:w="2016"/>
          </w:tcPr>
          <w:p>
            <w:pPr>
              <w:spacing w:line="240" w:lineRule="auto"/>
              <w:jc w:val="left"/>
            </w:pPr>
            <w:r/>
            <w:r>
              <w:rPr>
                <w:rFonts w:ascii="Times New Roman" w:hAnsi="Times New Roman" w:eastAsia="Times New Roman"/>
                <w:sz w:val="18"/>
              </w:rPr>
              <w:t>Demonstration analysis</w:t>
            </w:r>
          </w:p>
        </w:tc>
        <w:tc>
          <w:tcPr>
            <w:tcW w:type="dxa" w:w="2880"/>
          </w:tcPr>
          <w:p>
            <w:pPr>
              <w:spacing w:line="240" w:lineRule="auto"/>
              <w:jc w:val="left"/>
            </w:pPr>
            <w:r/>
            <w:r>
              <w:rPr>
                <w:rFonts w:ascii="Times New Roman" w:hAnsi="Times New Roman" w:eastAsia="Times New Roman"/>
                <w:sz w:val="18"/>
              </w:rPr>
              <w:t>Label correctness matters little</w:t>
            </w:r>
          </w:p>
        </w:tc>
        <w:tc>
          <w:tcPr>
            <w:tcW w:type="dxa" w:w="2736"/>
          </w:tcPr>
          <w:p>
            <w:pPr>
              <w:spacing w:line="240" w:lineRule="auto"/>
              <w:jc w:val="left"/>
            </w:pPr>
            <w:r/>
            <w:r>
              <w:rPr>
                <w:rFonts w:ascii="Times New Roman" w:hAnsi="Times New Roman" w:eastAsia="Times New Roman"/>
                <w:sz w:val="18"/>
              </w:rPr>
              <w:t>Format vs. content of examples</w:t>
            </w:r>
          </w:p>
        </w:tc>
      </w:tr>
      <w:tr>
        <w:tc>
          <w:tcPr>
            <w:tcW w:type="dxa" w:w="1728"/>
          </w:tcPr>
          <w:p>
            <w:pPr>
              <w:spacing w:line="240" w:lineRule="auto"/>
              <w:jc w:val="left"/>
            </w:pPr>
            <w:r/>
            <w:r>
              <w:rPr>
                <w:rFonts w:ascii="Times New Roman" w:hAnsi="Times New Roman" w:eastAsia="Times New Roman"/>
                <w:sz w:val="18"/>
              </w:rPr>
              <w:t>Wei et al. [2]</w:t>
            </w:r>
          </w:p>
        </w:tc>
        <w:tc>
          <w:tcPr>
            <w:tcW w:type="dxa" w:w="2016"/>
          </w:tcPr>
          <w:p>
            <w:pPr>
              <w:spacing w:line="240" w:lineRule="auto"/>
              <w:jc w:val="left"/>
            </w:pPr>
            <w:r/>
            <w:r>
              <w:rPr>
                <w:rFonts w:ascii="Times New Roman" w:hAnsi="Times New Roman" w:eastAsia="Times New Roman"/>
                <w:sz w:val="18"/>
              </w:rPr>
              <w:t>Few-shot CoT</w:t>
            </w:r>
          </w:p>
        </w:tc>
        <w:tc>
          <w:tcPr>
            <w:tcW w:type="dxa" w:w="2880"/>
          </w:tcPr>
          <w:p>
            <w:pPr>
              <w:spacing w:line="240" w:lineRule="auto"/>
              <w:jc w:val="left"/>
            </w:pPr>
            <w:r/>
            <w:r>
              <w:rPr>
                <w:rFonts w:ascii="Times New Roman" w:hAnsi="Times New Roman" w:eastAsia="Times New Roman"/>
                <w:sz w:val="18"/>
              </w:rPr>
              <w:t>Reasoning steps help large models</w:t>
            </w:r>
          </w:p>
        </w:tc>
        <w:tc>
          <w:tcPr>
            <w:tcW w:type="dxa" w:w="2736"/>
          </w:tcPr>
          <w:p>
            <w:pPr>
              <w:spacing w:line="240" w:lineRule="auto"/>
              <w:jc w:val="left"/>
            </w:pPr>
            <w:r/>
            <w:r>
              <w:rPr>
                <w:rFonts w:ascii="Times New Roman" w:hAnsi="Times New Roman" w:eastAsia="Times New Roman"/>
                <w:sz w:val="18"/>
              </w:rPr>
              <w:t>Cost in tokens not reported</w:t>
            </w:r>
          </w:p>
        </w:tc>
      </w:tr>
      <w:tr>
        <w:tc>
          <w:tcPr>
            <w:tcW w:type="dxa" w:w="1728"/>
          </w:tcPr>
          <w:p>
            <w:pPr>
              <w:spacing w:line="240" w:lineRule="auto"/>
              <w:jc w:val="left"/>
            </w:pPr>
            <w:r/>
            <w:r>
              <w:rPr>
                <w:rFonts w:ascii="Times New Roman" w:hAnsi="Times New Roman" w:eastAsia="Times New Roman"/>
                <w:sz w:val="18"/>
              </w:rPr>
              <w:t>Kojima et al. [3]</w:t>
            </w:r>
          </w:p>
        </w:tc>
        <w:tc>
          <w:tcPr>
            <w:tcW w:type="dxa" w:w="2016"/>
          </w:tcPr>
          <w:p>
            <w:pPr>
              <w:spacing w:line="240" w:lineRule="auto"/>
              <w:jc w:val="left"/>
            </w:pPr>
            <w:r/>
            <w:r>
              <w:rPr>
                <w:rFonts w:ascii="Times New Roman" w:hAnsi="Times New Roman" w:eastAsia="Times New Roman"/>
                <w:sz w:val="18"/>
              </w:rPr>
              <w:t>Zero-shot CoT</w:t>
            </w:r>
          </w:p>
        </w:tc>
        <w:tc>
          <w:tcPr>
            <w:tcW w:type="dxa" w:w="2880"/>
          </w:tcPr>
          <w:p>
            <w:pPr>
              <w:spacing w:line="240" w:lineRule="auto"/>
              <w:jc w:val="left"/>
            </w:pPr>
            <w:r/>
            <w:r>
              <w:rPr>
                <w:rFonts w:ascii="Times New Roman" w:hAnsi="Times New Roman" w:eastAsia="Times New Roman"/>
                <w:sz w:val="18"/>
              </w:rPr>
              <w:t>A trigger phrase elicits reasoning</w:t>
            </w:r>
          </w:p>
        </w:tc>
        <w:tc>
          <w:tcPr>
            <w:tcW w:type="dxa" w:w="2736"/>
          </w:tcPr>
          <w:p>
            <w:pPr>
              <w:spacing w:line="240" w:lineRule="auto"/>
              <w:jc w:val="left"/>
            </w:pPr>
            <w:r/>
            <w:r>
              <w:rPr>
                <w:rFonts w:ascii="Times New Roman" w:hAnsi="Times New Roman" w:eastAsia="Times New Roman"/>
                <w:sz w:val="18"/>
              </w:rPr>
              <w:t>Compared with few-shot CoT</w:t>
            </w:r>
          </w:p>
        </w:tc>
      </w:tr>
      <w:tr>
        <w:tc>
          <w:tcPr>
            <w:tcW w:type="dxa" w:w="1728"/>
          </w:tcPr>
          <w:p>
            <w:pPr>
              <w:spacing w:line="240" w:lineRule="auto"/>
              <w:jc w:val="left"/>
            </w:pPr>
            <w:r/>
            <w:r>
              <w:rPr>
                <w:rFonts w:ascii="Times New Roman" w:hAnsi="Times New Roman" w:eastAsia="Times New Roman"/>
                <w:sz w:val="18"/>
              </w:rPr>
              <w:t>Sprague et al. [14]</w:t>
            </w:r>
          </w:p>
        </w:tc>
        <w:tc>
          <w:tcPr>
            <w:tcW w:type="dxa" w:w="2016"/>
          </w:tcPr>
          <w:p>
            <w:pPr>
              <w:spacing w:line="240" w:lineRule="auto"/>
              <w:jc w:val="left"/>
            </w:pPr>
            <w:r/>
            <w:r>
              <w:rPr>
                <w:rFonts w:ascii="Times New Roman" w:hAnsi="Times New Roman" w:eastAsia="Times New Roman"/>
                <w:sz w:val="18"/>
              </w:rPr>
              <w:t>Meta-analysis of CoT</w:t>
            </w:r>
          </w:p>
        </w:tc>
        <w:tc>
          <w:tcPr>
            <w:tcW w:type="dxa" w:w="2880"/>
          </w:tcPr>
          <w:p>
            <w:pPr>
              <w:spacing w:line="240" w:lineRule="auto"/>
              <w:jc w:val="left"/>
            </w:pPr>
            <w:r/>
            <w:r>
              <w:rPr>
                <w:rFonts w:ascii="Times New Roman" w:hAnsi="Times New Roman" w:eastAsia="Times New Roman"/>
                <w:sz w:val="18"/>
              </w:rPr>
              <w:t>Gains mostly on math/symbolic</w:t>
            </w:r>
          </w:p>
        </w:tc>
        <w:tc>
          <w:tcPr>
            <w:tcW w:type="dxa" w:w="2736"/>
          </w:tcPr>
          <w:p>
            <w:pPr>
              <w:spacing w:line="240" w:lineRule="auto"/>
              <w:jc w:val="left"/>
            </w:pPr>
            <w:r/>
            <w:r>
              <w:rPr>
                <w:rFonts w:ascii="Times New Roman" w:hAnsi="Times New Roman" w:eastAsia="Times New Roman"/>
                <w:sz w:val="18"/>
              </w:rPr>
              <w:t>Per-task check on 3 task types</w:t>
            </w:r>
          </w:p>
        </w:tc>
      </w:tr>
      <w:tr>
        <w:tc>
          <w:tcPr>
            <w:tcW w:type="dxa" w:w="1728"/>
          </w:tcPr>
          <w:p>
            <w:pPr>
              <w:spacing w:line="240" w:lineRule="auto"/>
              <w:jc w:val="left"/>
            </w:pPr>
            <w:r/>
            <w:r>
              <w:rPr>
                <w:rFonts w:ascii="Times New Roman" w:hAnsi="Times New Roman" w:eastAsia="Times New Roman"/>
                <w:sz w:val="18"/>
              </w:rPr>
              <w:t>Wang et al. [4]</w:t>
            </w:r>
          </w:p>
        </w:tc>
        <w:tc>
          <w:tcPr>
            <w:tcW w:type="dxa" w:w="2016"/>
          </w:tcPr>
          <w:p>
            <w:pPr>
              <w:spacing w:line="240" w:lineRule="auto"/>
              <w:jc w:val="left"/>
            </w:pPr>
            <w:r/>
            <w:r>
              <w:rPr>
                <w:rFonts w:ascii="Times New Roman" w:hAnsi="Times New Roman" w:eastAsia="Times New Roman"/>
                <w:sz w:val="18"/>
              </w:rPr>
              <w:t>Self-consistency</w:t>
            </w:r>
          </w:p>
        </w:tc>
        <w:tc>
          <w:tcPr>
            <w:tcW w:type="dxa" w:w="2880"/>
          </w:tcPr>
          <w:p>
            <w:pPr>
              <w:spacing w:line="240" w:lineRule="auto"/>
              <w:jc w:val="left"/>
            </w:pPr>
            <w:r/>
            <w:r>
              <w:rPr>
                <w:rFonts w:ascii="Times New Roman" w:hAnsi="Times New Roman" w:eastAsia="Times New Roman"/>
                <w:sz w:val="18"/>
              </w:rPr>
              <w:t>Voting over paths improves accuracy</w:t>
            </w:r>
          </w:p>
        </w:tc>
        <w:tc>
          <w:tcPr>
            <w:tcW w:type="dxa" w:w="2736"/>
          </w:tcPr>
          <w:p>
            <w:pPr>
              <w:spacing w:line="240" w:lineRule="auto"/>
              <w:jc w:val="left"/>
            </w:pPr>
            <w:r/>
            <w:r>
              <w:rPr>
                <w:rFonts w:ascii="Times New Roman" w:hAnsi="Times New Roman" w:eastAsia="Times New Roman"/>
                <w:sz w:val="18"/>
              </w:rPr>
              <w:t>Left as future work</w:t>
            </w:r>
          </w:p>
        </w:tc>
      </w:tr>
    </w:tbl>
    <w:p>
      <w:pPr>
        <w:spacing w:line="120" w:lineRule="exact" w:after="0"/>
      </w:pPr>
    </w:p>
    <w:p>
      <w:pPr>
        <w:jc w:val="both"/>
      </w:pPr>
      <w:r>
        <w:rPr>
          <w:rFonts w:ascii="Times New Roman" w:hAnsi="Times New Roman" w:eastAsia="Times New Roman"/>
          <w:sz w:val="24"/>
        </w:rPr>
        <w:t>Most of this literature evaluates a single model family and reports accuracy only. The present study keeps the task instructions, answer format and decoding settings fixed across four strategies, uses two different open-weight models, and reports accuracy together with confidence intervals, significance tests and output length.</w:t>
      </w:r>
    </w:p>
    <w:p>
      <w:pPr>
        <w:keepNext/>
        <w:spacing w:before="200"/>
        <w:jc w:val="left"/>
      </w:pPr>
      <w:r>
        <w:rPr>
          <w:rFonts w:ascii="Times New Roman" w:hAnsi="Times New Roman" w:eastAsia="Times New Roman"/>
          <w:b/>
          <w:sz w:val="28"/>
        </w:rPr>
        <w:t>5. Methodology</w:t>
      </w:r>
    </w:p>
    <w:p>
      <w:pPr>
        <w:keepNext/>
        <w:jc w:val="left"/>
      </w:pPr>
      <w:r>
        <w:rPr>
          <w:rFonts w:ascii="Times New Roman" w:hAnsi="Times New Roman" w:eastAsia="Times New Roman"/>
          <w:b/>
          <w:sz w:val="24"/>
        </w:rPr>
        <w:t>5.1 Experimental design</w:t>
      </w:r>
    </w:p>
    <w:p>
      <w:pPr>
        <w:jc w:val="both"/>
      </w:pPr>
      <w:r>
        <w:rPr>
          <w:rFonts w:ascii="Times New Roman" w:hAnsi="Times New Roman" w:eastAsia="Times New Roman"/>
          <w:sz w:val="24"/>
        </w:rPr>
        <w:t>The study was planned as a full factorial experiment: 4 prompting strategies × 3 datasets × 2 models × 60 questions per dataset (1,440 model calls). All strategies are applied to exactly the same questions, so they are compared on paired data. The free API tier limits the number of tokens per day, and the daily budget for Qwen3.8-27B ran out before the run finished. The final data therefore consist of ALLaM-2-7B on all three datasets (60 questions each, 720 calls) and Qwen3.8-27B on GSM8K (60 questions, 240 calls) and StrategyQA (51 questions, 204 calls); Date Understanding was not completed for Qwen. Within each model and dataset only questions answered under all four strategies are analysed (1,164 calls in total). Figure 1 shows the pipeline.</w:t>
      </w:r>
    </w:p>
    <w:p>
      <w:pPr>
        <w:spacing w:line="240" w:lineRule="auto" w:after="120"/>
        <w:jc w:val="center"/>
      </w:pPr>
      <w:r>
        <w:drawing>
          <wp:inline xmlns:a="http://schemas.openxmlformats.org/drawingml/2006/main" xmlns:pic="http://schemas.openxmlformats.org/drawingml/2006/picture">
            <wp:extent cx="5486400" cy="144635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86400" cy="1446351"/>
                    </a:xfrm>
                    <a:prstGeom prst="rect"/>
                  </pic:spPr>
                </pic:pic>
              </a:graphicData>
            </a:graphic>
          </wp:inline>
        </w:drawing>
      </w:r>
      <w:r>
        <w:rPr>
          <w:rFonts w:ascii="Times New Roman" w:hAnsi="Times New Roman" w:eastAsia="Times New Roman"/>
          <w:sz w:val="22"/>
        </w:rPr>
        <w:br/>
      </w:r>
      <w:r>
        <w:rPr>
          <w:rFonts w:ascii="Times New Roman" w:hAnsi="Times New Roman" w:eastAsia="Times New Roman"/>
          <w:b/>
          <w:sz w:val="22"/>
        </w:rPr>
        <w:t>Figure 1: Experimental pipeline</w:t>
      </w:r>
    </w:p>
    <w:p>
      <w:pPr>
        <w:keepNext/>
        <w:jc w:val="left"/>
      </w:pPr>
      <w:r>
        <w:rPr>
          <w:rFonts w:ascii="Times New Roman" w:hAnsi="Times New Roman" w:eastAsia="Times New Roman"/>
          <w:b/>
          <w:sz w:val="24"/>
        </w:rPr>
        <w:t>5.2 Datasets</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GSM8K</w:t>
      </w:r>
      <w:r>
        <w:rPr>
          <w:rFonts w:ascii="Times New Roman" w:hAnsi="Times New Roman" w:eastAsia="Times New Roman"/>
          <w:sz w:val="24"/>
        </w:rPr>
        <w:t xml:space="preserve"> [5]: grade-school arithmetic word problems with a numeric answer. 60 questions were drawn from the official test split.</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StrategyQA</w:t>
      </w:r>
      <w:r>
        <w:rPr>
          <w:rFonts w:ascii="Times New Roman" w:hAnsi="Times New Roman" w:eastAsia="Times New Roman"/>
          <w:sz w:val="24"/>
        </w:rPr>
        <w:t xml:space="preserve"> [6]: yes/no questions needing implicit multi-hop commonsense reasoning (60 sampled questions, BIG-bench release [7]; 51 of them completed for Qwen).</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Date Understanding</w:t>
      </w:r>
      <w:r>
        <w:rPr>
          <w:rFonts w:ascii="Times New Roman" w:hAnsi="Times New Roman" w:eastAsia="Times New Roman"/>
          <w:sz w:val="24"/>
        </w:rPr>
        <w:t xml:space="preserve"> [7]: calendar reasoning posed as multiple choice with six options (60 questions, BIG-bench; option order was shuffled; ALLaM only).</w:t>
      </w:r>
    </w:p>
    <w:p>
      <w:pPr>
        <w:jc w:val="both"/>
      </w:pPr>
      <w:r>
        <w:rPr>
          <w:rFonts w:ascii="Times New Roman" w:hAnsi="Times New Roman" w:eastAsia="Times New Roman"/>
          <w:sz w:val="24"/>
        </w:rPr>
        <w:t>Questions were selected by sorting item indices with a salted SHA-256 hash, which is deterministic and reproducible. Items used as few-shot examples were removed from the test pool, so there is no overlap between demonstrations and test questions.</w:t>
      </w:r>
    </w:p>
    <w:p>
      <w:pPr>
        <w:keepNext/>
        <w:jc w:val="left"/>
      </w:pPr>
      <w:r>
        <w:rPr>
          <w:rFonts w:ascii="Times New Roman" w:hAnsi="Times New Roman" w:eastAsia="Times New Roman"/>
          <w:b/>
          <w:sz w:val="24"/>
        </w:rPr>
        <w:t>5.3 Prompting strategies</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Zero-shot:</w:t>
      </w:r>
      <w:r>
        <w:rPr>
          <w:rFonts w:ascii="Times New Roman" w:hAnsi="Times New Roman" w:eastAsia="Times New Roman"/>
          <w:sz w:val="24"/>
        </w:rPr>
        <w:t xml:space="preserve"> an instruction and the question; the model is told to give only the final line "Answer: ...".</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Zero-shot CoT:</w:t>
      </w:r>
      <w:r>
        <w:rPr>
          <w:rFonts w:ascii="Times New Roman" w:hAnsi="Times New Roman" w:eastAsia="Times New Roman"/>
          <w:sz w:val="24"/>
        </w:rPr>
        <w:t xml:space="preserve"> the same instruction, but reasoning is allowed and the question is followed by "Let's think step by step" [3].</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Few-shot:</w:t>
      </w:r>
      <w:r>
        <w:rPr>
          <w:rFonts w:ascii="Times New Roman" w:hAnsi="Times New Roman" w:eastAsia="Times New Roman"/>
          <w:sz w:val="24"/>
        </w:rPr>
        <w:t xml:space="preserve"> four solved examples (question and answer only) precede the test question [1].</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Few-shot CoT:</w:t>
      </w:r>
      <w:r>
        <w:rPr>
          <w:rFonts w:ascii="Times New Roman" w:hAnsi="Times New Roman" w:eastAsia="Times New Roman"/>
          <w:sz w:val="24"/>
        </w:rPr>
        <w:t xml:space="preserve"> four examples that include worked reasoning before the answer [2].</w:t>
      </w:r>
    </w:p>
    <w:p>
      <w:pPr>
        <w:jc w:val="both"/>
      </w:pPr>
      <w:r>
        <w:rPr>
          <w:rFonts w:ascii="Times New Roman" w:hAnsi="Times New Roman" w:eastAsia="Times New Roman"/>
          <w:sz w:val="24"/>
        </w:rPr>
        <w:t>For GSM8K the examples are drawn from the training split with their reference solutions; for StrategyQA they use the dataset's annotated rationales; for Date Understanding four short rationales were written by hand.</w:t>
      </w:r>
    </w:p>
    <w:p>
      <w:pPr>
        <w:keepNext/>
        <w:jc w:val="left"/>
      </w:pPr>
      <w:r>
        <w:rPr>
          <w:rFonts w:ascii="Times New Roman" w:hAnsi="Times New Roman" w:eastAsia="Times New Roman"/>
          <w:b/>
          <w:sz w:val="24"/>
        </w:rPr>
        <w:t>5.4 Models and decoding</w:t>
      </w:r>
    </w:p>
    <w:p>
      <w:pPr>
        <w:jc w:val="both"/>
      </w:pPr>
      <w:r>
        <w:rPr>
          <w:rFonts w:ascii="Times New Roman" w:hAnsi="Times New Roman" w:eastAsia="Times New Roman"/>
          <w:sz w:val="24"/>
        </w:rPr>
        <w:t>Two models served through the Groq API were used: ALLaM-2-7B (a 7-billion-parameter model, here called the small model) and Qwen3.8-27B (27 billion parameters, the medium model), both used in their standard non-thinking mode so that any reasoning comes from the prompt rather than a hidden reasoning phase. Temperature was 0 for all runs. Answers were limited to 40 tokens for non-CoT strategies and 1000 tokens for CoT strategies.</w:t>
      </w:r>
    </w:p>
    <w:p>
      <w:pPr>
        <w:keepNext/>
        <w:jc w:val="left"/>
      </w:pPr>
      <w:r>
        <w:rPr>
          <w:rFonts w:ascii="Times New Roman" w:hAnsi="Times New Roman" w:eastAsia="Times New Roman"/>
          <w:b/>
          <w:sz w:val="24"/>
        </w:rPr>
        <w:t>5.5 Metrics and statistics</w:t>
      </w:r>
    </w:p>
    <w:p>
      <w:pPr>
        <w:jc w:val="both"/>
      </w:pPr>
      <w:r>
        <w:rPr>
          <w:rFonts w:ascii="Times New Roman" w:hAnsi="Times New Roman" w:eastAsia="Times New Roman"/>
          <w:sz w:val="24"/>
        </w:rPr>
        <w:t>The final line "Answer: ..." is extracted with a regular expression and compared with the gold answer (numeric equality for GSM8K, exact match otherwise); a missing or malformed answer counts as wrong. Accuracy is reported with 95% Wilson confidence intervals. Each strategy is compared with zero-shot on the same items using an exact McNemar test (two-sided binomial test on discordant pairs). The mean number of generated tokens per answer measures cost.</w:t>
      </w:r>
    </w:p>
    <w:p>
      <w:pPr>
        <w:keepNext/>
        <w:spacing w:before="200"/>
        <w:jc w:val="left"/>
      </w:pPr>
      <w:r>
        <w:rPr>
          <w:rFonts w:ascii="Times New Roman" w:hAnsi="Times New Roman" w:eastAsia="Times New Roman"/>
          <w:b/>
          <w:sz w:val="28"/>
        </w:rPr>
        <w:t>6. Result and Discussions</w:t>
      </w:r>
    </w:p>
    <w:p>
      <w:pPr>
        <w:keepNext/>
        <w:jc w:val="left"/>
      </w:pPr>
      <w:r>
        <w:rPr>
          <w:rFonts w:ascii="Times New Roman" w:hAnsi="Times New Roman" w:eastAsia="Times New Roman"/>
          <w:b/>
          <w:sz w:val="24"/>
        </w:rPr>
        <w:t>6.1 Accuracy of the four strategies</w:t>
      </w:r>
    </w:p>
    <w:p>
      <w:pPr>
        <w:keepNext/>
        <w:spacing w:line="240" w:lineRule="auto" w:before="120"/>
        <w:jc w:val="center"/>
      </w:pPr>
      <w:r>
        <w:rPr>
          <w:rFonts w:ascii="Times New Roman" w:hAnsi="Times New Roman" w:eastAsia="Times New Roman"/>
          <w:b/>
          <w:sz w:val="22"/>
        </w:rPr>
        <w:t>Table 2: Accuracy % (95% Wilson interval) for each strategy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D9E2F3"/>
          </w:tcPr>
          <w:p>
            <w:pPr>
              <w:spacing w:line="240" w:lineRule="auto"/>
              <w:jc w:val="center"/>
            </w:pPr>
            <w:r/>
            <w:r>
              <w:rPr>
                <w:rFonts w:ascii="Times New Roman" w:hAnsi="Times New Roman" w:eastAsia="Times New Roman"/>
                <w:b/>
                <w:sz w:val="18"/>
              </w:rPr>
              <w:t>Model / dataset</w:t>
            </w:r>
          </w:p>
        </w:tc>
        <w:tc>
          <w:tcPr>
            <w:tcW w:type="dxa" w:w="1584"/>
            <w:shd w:val="clear" w:color="auto" w:fill="D9E2F3"/>
          </w:tcPr>
          <w:p>
            <w:pPr>
              <w:spacing w:line="240" w:lineRule="auto"/>
              <w:jc w:val="center"/>
            </w:pPr>
            <w:r/>
            <w:r>
              <w:rPr>
                <w:rFonts w:ascii="Times New Roman" w:hAnsi="Times New Roman" w:eastAsia="Times New Roman"/>
                <w:b/>
                <w:sz w:val="18"/>
              </w:rPr>
              <w:t>Zero-shot</w:t>
            </w:r>
          </w:p>
        </w:tc>
        <w:tc>
          <w:tcPr>
            <w:tcW w:type="dxa" w:w="1584"/>
            <w:shd w:val="clear" w:color="auto" w:fill="D9E2F3"/>
          </w:tcPr>
          <w:p>
            <w:pPr>
              <w:spacing w:line="240" w:lineRule="auto"/>
              <w:jc w:val="center"/>
            </w:pPr>
            <w:r/>
            <w:r>
              <w:rPr>
                <w:rFonts w:ascii="Times New Roman" w:hAnsi="Times New Roman" w:eastAsia="Times New Roman"/>
                <w:b/>
                <w:sz w:val="18"/>
              </w:rPr>
              <w:t>Zero-shot CoT</w:t>
            </w:r>
          </w:p>
        </w:tc>
        <w:tc>
          <w:tcPr>
            <w:tcW w:type="dxa" w:w="1584"/>
            <w:shd w:val="clear" w:color="auto" w:fill="D9E2F3"/>
          </w:tcPr>
          <w:p>
            <w:pPr>
              <w:spacing w:line="240" w:lineRule="auto"/>
              <w:jc w:val="center"/>
            </w:pPr>
            <w:r/>
            <w:r>
              <w:rPr>
                <w:rFonts w:ascii="Times New Roman" w:hAnsi="Times New Roman" w:eastAsia="Times New Roman"/>
                <w:b/>
                <w:sz w:val="18"/>
              </w:rPr>
              <w:t>Few-shot</w:t>
            </w:r>
          </w:p>
        </w:tc>
        <w:tc>
          <w:tcPr>
            <w:tcW w:type="dxa" w:w="1584"/>
            <w:shd w:val="clear" w:color="auto" w:fill="D9E2F3"/>
          </w:tcPr>
          <w:p>
            <w:pPr>
              <w:spacing w:line="240" w:lineRule="auto"/>
              <w:jc w:val="center"/>
            </w:pPr>
            <w:r/>
            <w:r>
              <w:rPr>
                <w:rFonts w:ascii="Times New Roman" w:hAnsi="Times New Roman" w:eastAsia="Times New Roman"/>
                <w:b/>
                <w:sz w:val="18"/>
              </w:rPr>
              <w:t>Few-shot CoT</w:t>
            </w:r>
          </w:p>
        </w:tc>
      </w:tr>
      <w:tr>
        <w:tc>
          <w:tcPr>
            <w:tcW w:type="dxa" w:w="3168"/>
          </w:tcPr>
          <w:p>
            <w:pPr>
              <w:spacing w:line="240" w:lineRule="auto"/>
              <w:jc w:val="left"/>
            </w:pPr>
            <w:r/>
            <w:r>
              <w:rPr>
                <w:rFonts w:ascii="Times New Roman" w:hAnsi="Times New Roman" w:eastAsia="Times New Roman"/>
                <w:sz w:val="18"/>
              </w:rPr>
              <w:t>ALLaM-2-7B / Date Und. (n=60)</w:t>
            </w:r>
          </w:p>
        </w:tc>
        <w:tc>
          <w:tcPr>
            <w:tcW w:type="dxa" w:w="1584"/>
          </w:tcPr>
          <w:p>
            <w:pPr>
              <w:spacing w:line="240" w:lineRule="auto"/>
              <w:jc w:val="center"/>
            </w:pPr>
            <w:r/>
            <w:r>
              <w:rPr>
                <w:rFonts w:ascii="Times New Roman" w:hAnsi="Times New Roman" w:eastAsia="Times New Roman"/>
                <w:sz w:val="18"/>
              </w:rPr>
              <w:t>36.7 (26-49)</w:t>
            </w:r>
          </w:p>
        </w:tc>
        <w:tc>
          <w:tcPr>
            <w:tcW w:type="dxa" w:w="1584"/>
          </w:tcPr>
          <w:p>
            <w:pPr>
              <w:spacing w:line="240" w:lineRule="auto"/>
              <w:jc w:val="center"/>
            </w:pPr>
            <w:r/>
            <w:r>
              <w:rPr>
                <w:rFonts w:ascii="Times New Roman" w:hAnsi="Times New Roman" w:eastAsia="Times New Roman"/>
                <w:sz w:val="18"/>
              </w:rPr>
              <w:t>30.0 (20-43)</w:t>
            </w:r>
          </w:p>
        </w:tc>
        <w:tc>
          <w:tcPr>
            <w:tcW w:type="dxa" w:w="1584"/>
          </w:tcPr>
          <w:p>
            <w:pPr>
              <w:spacing w:line="240" w:lineRule="auto"/>
              <w:jc w:val="center"/>
            </w:pPr>
            <w:r/>
            <w:r>
              <w:rPr>
                <w:rFonts w:ascii="Times New Roman" w:hAnsi="Times New Roman" w:eastAsia="Times New Roman"/>
                <w:sz w:val="18"/>
              </w:rPr>
              <w:t>45.0 (33-58)</w:t>
            </w:r>
          </w:p>
        </w:tc>
        <w:tc>
          <w:tcPr>
            <w:tcW w:type="dxa" w:w="1584"/>
          </w:tcPr>
          <w:p>
            <w:pPr>
              <w:spacing w:line="240" w:lineRule="auto"/>
              <w:jc w:val="center"/>
            </w:pPr>
            <w:r/>
            <w:r>
              <w:rPr>
                <w:rFonts w:ascii="Times New Roman" w:hAnsi="Times New Roman" w:eastAsia="Times New Roman"/>
                <w:sz w:val="18"/>
              </w:rPr>
              <w:t>56.7 (44-68)</w:t>
            </w:r>
          </w:p>
        </w:tc>
      </w:tr>
      <w:tr>
        <w:tc>
          <w:tcPr>
            <w:tcW w:type="dxa" w:w="3168"/>
          </w:tcPr>
          <w:p>
            <w:pPr>
              <w:spacing w:line="240" w:lineRule="auto"/>
              <w:jc w:val="left"/>
            </w:pPr>
            <w:r/>
            <w:r>
              <w:rPr>
                <w:rFonts w:ascii="Times New Roman" w:hAnsi="Times New Roman" w:eastAsia="Times New Roman"/>
                <w:sz w:val="18"/>
              </w:rPr>
              <w:t>ALLaM-2-7B / GSM8K (n=60)</w:t>
            </w:r>
          </w:p>
        </w:tc>
        <w:tc>
          <w:tcPr>
            <w:tcW w:type="dxa" w:w="1584"/>
          </w:tcPr>
          <w:p>
            <w:pPr>
              <w:spacing w:line="240" w:lineRule="auto"/>
              <w:jc w:val="center"/>
            </w:pPr>
            <w:r/>
            <w:r>
              <w:rPr>
                <w:rFonts w:ascii="Times New Roman" w:hAnsi="Times New Roman" w:eastAsia="Times New Roman"/>
                <w:sz w:val="18"/>
              </w:rPr>
              <w:t>11.7 (6-22)</w:t>
            </w:r>
          </w:p>
        </w:tc>
        <w:tc>
          <w:tcPr>
            <w:tcW w:type="dxa" w:w="1584"/>
          </w:tcPr>
          <w:p>
            <w:pPr>
              <w:spacing w:line="240" w:lineRule="auto"/>
              <w:jc w:val="center"/>
            </w:pPr>
            <w:r/>
            <w:r>
              <w:rPr>
                <w:rFonts w:ascii="Times New Roman" w:hAnsi="Times New Roman" w:eastAsia="Times New Roman"/>
                <w:sz w:val="18"/>
              </w:rPr>
              <w:t>46.7 (35-59)</w:t>
            </w:r>
          </w:p>
        </w:tc>
        <w:tc>
          <w:tcPr>
            <w:tcW w:type="dxa" w:w="1584"/>
          </w:tcPr>
          <w:p>
            <w:pPr>
              <w:spacing w:line="240" w:lineRule="auto"/>
              <w:jc w:val="center"/>
            </w:pPr>
            <w:r/>
            <w:r>
              <w:rPr>
                <w:rFonts w:ascii="Times New Roman" w:hAnsi="Times New Roman" w:eastAsia="Times New Roman"/>
                <w:sz w:val="18"/>
              </w:rPr>
              <w:t>13.3 (7-24)</w:t>
            </w:r>
          </w:p>
        </w:tc>
        <w:tc>
          <w:tcPr>
            <w:tcW w:type="dxa" w:w="1584"/>
          </w:tcPr>
          <w:p>
            <w:pPr>
              <w:spacing w:line="240" w:lineRule="auto"/>
              <w:jc w:val="center"/>
            </w:pPr>
            <w:r/>
            <w:r>
              <w:rPr>
                <w:rFonts w:ascii="Times New Roman" w:hAnsi="Times New Roman" w:eastAsia="Times New Roman"/>
                <w:sz w:val="18"/>
              </w:rPr>
              <w:t>56.7 (44-68)</w:t>
            </w:r>
          </w:p>
        </w:tc>
      </w:tr>
      <w:tr>
        <w:tc>
          <w:tcPr>
            <w:tcW w:type="dxa" w:w="3168"/>
          </w:tcPr>
          <w:p>
            <w:pPr>
              <w:spacing w:line="240" w:lineRule="auto"/>
              <w:jc w:val="left"/>
            </w:pPr>
            <w:r/>
            <w:r>
              <w:rPr>
                <w:rFonts w:ascii="Times New Roman" w:hAnsi="Times New Roman" w:eastAsia="Times New Roman"/>
                <w:sz w:val="18"/>
              </w:rPr>
              <w:t>ALLaM-2-7B / StrategyQA (n=60)</w:t>
            </w:r>
          </w:p>
        </w:tc>
        <w:tc>
          <w:tcPr>
            <w:tcW w:type="dxa" w:w="1584"/>
          </w:tcPr>
          <w:p>
            <w:pPr>
              <w:spacing w:line="240" w:lineRule="auto"/>
              <w:jc w:val="center"/>
            </w:pPr>
            <w:r/>
            <w:r>
              <w:rPr>
                <w:rFonts w:ascii="Times New Roman" w:hAnsi="Times New Roman" w:eastAsia="Times New Roman"/>
                <w:sz w:val="18"/>
              </w:rPr>
              <w:t>70.0 (57-80)</w:t>
            </w:r>
          </w:p>
        </w:tc>
        <w:tc>
          <w:tcPr>
            <w:tcW w:type="dxa" w:w="1584"/>
          </w:tcPr>
          <w:p>
            <w:pPr>
              <w:spacing w:line="240" w:lineRule="auto"/>
              <w:jc w:val="center"/>
            </w:pPr>
            <w:r/>
            <w:r>
              <w:rPr>
                <w:rFonts w:ascii="Times New Roman" w:hAnsi="Times New Roman" w:eastAsia="Times New Roman"/>
                <w:sz w:val="18"/>
              </w:rPr>
              <w:t>75.0 (63-84)</w:t>
            </w:r>
          </w:p>
        </w:tc>
        <w:tc>
          <w:tcPr>
            <w:tcW w:type="dxa" w:w="1584"/>
          </w:tcPr>
          <w:p>
            <w:pPr>
              <w:spacing w:line="240" w:lineRule="auto"/>
              <w:jc w:val="center"/>
            </w:pPr>
            <w:r/>
            <w:r>
              <w:rPr>
                <w:rFonts w:ascii="Times New Roman" w:hAnsi="Times New Roman" w:eastAsia="Times New Roman"/>
                <w:sz w:val="18"/>
              </w:rPr>
              <w:t>66.7 (54-77)</w:t>
            </w:r>
          </w:p>
        </w:tc>
        <w:tc>
          <w:tcPr>
            <w:tcW w:type="dxa" w:w="1584"/>
          </w:tcPr>
          <w:p>
            <w:pPr>
              <w:spacing w:line="240" w:lineRule="auto"/>
              <w:jc w:val="center"/>
            </w:pPr>
            <w:r/>
            <w:r>
              <w:rPr>
                <w:rFonts w:ascii="Times New Roman" w:hAnsi="Times New Roman" w:eastAsia="Times New Roman"/>
                <w:sz w:val="18"/>
              </w:rPr>
              <w:t>68.3 (56-79)</w:t>
            </w:r>
          </w:p>
        </w:tc>
      </w:tr>
      <w:tr>
        <w:tc>
          <w:tcPr>
            <w:tcW w:type="dxa" w:w="3168"/>
          </w:tcPr>
          <w:p>
            <w:pPr>
              <w:spacing w:line="240" w:lineRule="auto"/>
              <w:jc w:val="left"/>
            </w:pPr>
            <w:r/>
            <w:r>
              <w:rPr>
                <w:rFonts w:ascii="Times New Roman" w:hAnsi="Times New Roman" w:eastAsia="Times New Roman"/>
                <w:sz w:val="18"/>
              </w:rPr>
              <w:t>Qwen3.8-27B / GSM8K (n=60)</w:t>
            </w:r>
          </w:p>
        </w:tc>
        <w:tc>
          <w:tcPr>
            <w:tcW w:type="dxa" w:w="1584"/>
          </w:tcPr>
          <w:p>
            <w:pPr>
              <w:spacing w:line="240" w:lineRule="auto"/>
              <w:jc w:val="center"/>
            </w:pPr>
            <w:r/>
            <w:r>
              <w:rPr>
                <w:rFonts w:ascii="Times New Roman" w:hAnsi="Times New Roman" w:eastAsia="Times New Roman"/>
                <w:sz w:val="18"/>
              </w:rPr>
              <w:t>53.3 (41-65)</w:t>
            </w:r>
          </w:p>
        </w:tc>
        <w:tc>
          <w:tcPr>
            <w:tcW w:type="dxa" w:w="1584"/>
          </w:tcPr>
          <w:p>
            <w:pPr>
              <w:spacing w:line="240" w:lineRule="auto"/>
              <w:jc w:val="center"/>
            </w:pPr>
            <w:r/>
            <w:r>
              <w:rPr>
                <w:rFonts w:ascii="Times New Roman" w:hAnsi="Times New Roman" w:eastAsia="Times New Roman"/>
                <w:sz w:val="18"/>
              </w:rPr>
              <w:t>93.3 (84-97)</w:t>
            </w:r>
          </w:p>
        </w:tc>
        <w:tc>
          <w:tcPr>
            <w:tcW w:type="dxa" w:w="1584"/>
          </w:tcPr>
          <w:p>
            <w:pPr>
              <w:spacing w:line="240" w:lineRule="auto"/>
              <w:jc w:val="center"/>
            </w:pPr>
            <w:r/>
            <w:r>
              <w:rPr>
                <w:rFonts w:ascii="Times New Roman" w:hAnsi="Times New Roman" w:eastAsia="Times New Roman"/>
                <w:sz w:val="18"/>
              </w:rPr>
              <w:t>61.7 (49-73)</w:t>
            </w:r>
          </w:p>
        </w:tc>
        <w:tc>
          <w:tcPr>
            <w:tcW w:type="dxa" w:w="1584"/>
          </w:tcPr>
          <w:p>
            <w:pPr>
              <w:spacing w:line="240" w:lineRule="auto"/>
              <w:jc w:val="center"/>
            </w:pPr>
            <w:r/>
            <w:r>
              <w:rPr>
                <w:rFonts w:ascii="Times New Roman" w:hAnsi="Times New Roman" w:eastAsia="Times New Roman"/>
                <w:sz w:val="18"/>
              </w:rPr>
              <w:t>95.0 (86-98)</w:t>
            </w:r>
          </w:p>
        </w:tc>
      </w:tr>
      <w:tr>
        <w:tc>
          <w:tcPr>
            <w:tcW w:type="dxa" w:w="3168"/>
          </w:tcPr>
          <w:p>
            <w:pPr>
              <w:spacing w:line="240" w:lineRule="auto"/>
              <w:jc w:val="left"/>
            </w:pPr>
            <w:r/>
            <w:r>
              <w:rPr>
                <w:rFonts w:ascii="Times New Roman" w:hAnsi="Times New Roman" w:eastAsia="Times New Roman"/>
                <w:sz w:val="18"/>
              </w:rPr>
              <w:t>Qwen3.8-27B / StrategyQA (n=51)</w:t>
            </w:r>
          </w:p>
        </w:tc>
        <w:tc>
          <w:tcPr>
            <w:tcW w:type="dxa" w:w="1584"/>
          </w:tcPr>
          <w:p>
            <w:pPr>
              <w:spacing w:line="240" w:lineRule="auto"/>
              <w:jc w:val="center"/>
            </w:pPr>
            <w:r/>
            <w:r>
              <w:rPr>
                <w:rFonts w:ascii="Times New Roman" w:hAnsi="Times New Roman" w:eastAsia="Times New Roman"/>
                <w:sz w:val="18"/>
              </w:rPr>
              <w:t>76.5 (63-86)</w:t>
            </w:r>
          </w:p>
        </w:tc>
        <w:tc>
          <w:tcPr>
            <w:tcW w:type="dxa" w:w="1584"/>
          </w:tcPr>
          <w:p>
            <w:pPr>
              <w:spacing w:line="240" w:lineRule="auto"/>
              <w:jc w:val="center"/>
            </w:pPr>
            <w:r/>
            <w:r>
              <w:rPr>
                <w:rFonts w:ascii="Times New Roman" w:hAnsi="Times New Roman" w:eastAsia="Times New Roman"/>
                <w:sz w:val="18"/>
              </w:rPr>
              <w:t>80.4 (68-89)</w:t>
            </w:r>
          </w:p>
        </w:tc>
        <w:tc>
          <w:tcPr>
            <w:tcW w:type="dxa" w:w="1584"/>
          </w:tcPr>
          <w:p>
            <w:pPr>
              <w:spacing w:line="240" w:lineRule="auto"/>
              <w:jc w:val="center"/>
            </w:pPr>
            <w:r/>
            <w:r>
              <w:rPr>
                <w:rFonts w:ascii="Times New Roman" w:hAnsi="Times New Roman" w:eastAsia="Times New Roman"/>
                <w:sz w:val="18"/>
              </w:rPr>
              <w:t>86.3 (74-93)</w:t>
            </w:r>
          </w:p>
        </w:tc>
        <w:tc>
          <w:tcPr>
            <w:tcW w:type="dxa" w:w="1584"/>
          </w:tcPr>
          <w:p>
            <w:pPr>
              <w:spacing w:line="240" w:lineRule="auto"/>
              <w:jc w:val="center"/>
            </w:pPr>
            <w:r/>
            <w:r>
              <w:rPr>
                <w:rFonts w:ascii="Times New Roman" w:hAnsi="Times New Roman" w:eastAsia="Times New Roman"/>
                <w:sz w:val="18"/>
              </w:rPr>
              <w:t>82.4 (70-90)</w:t>
            </w:r>
          </w:p>
        </w:tc>
      </w:tr>
    </w:tbl>
    <w:p>
      <w:pPr>
        <w:spacing w:line="120" w:lineRule="exact" w:after="0"/>
      </w:pPr>
    </w:p>
    <w:p>
      <w:pPr>
        <w:jc w:val="both"/>
      </w:pPr>
      <w:r>
        <w:rPr>
          <w:rFonts w:ascii="Times New Roman" w:hAnsi="Times New Roman" w:eastAsia="Times New Roman"/>
          <w:sz w:val="24"/>
        </w:rPr>
        <w:t xml:space="preserve">Table 2 and Figures 2 and 3 show a clear pattern that depends on the dataset more than on the model. On </w:t>
      </w:r>
      <w:r>
        <w:rPr>
          <w:rFonts w:ascii="Times New Roman" w:hAnsi="Times New Roman" w:eastAsia="Times New Roman"/>
          <w:b/>
          <w:sz w:val="24"/>
        </w:rPr>
        <w:t>GSM8K</w:t>
      </w:r>
      <w:r>
        <w:rPr>
          <w:rFonts w:ascii="Times New Roman" w:hAnsi="Times New Roman" w:eastAsia="Times New Roman"/>
          <w:sz w:val="24"/>
        </w:rPr>
        <w:t xml:space="preserve">, reasoning is decisive: for the small ALLaM model, accuracy rises from 11.7% (zero-shot) to 46.7% with zero-shot CoT and 56.7% with few-shot CoT, while few-shot examples without reasoning give only 13.3%. Qwen shows the same shape at a higher level (53.3% → 93.3% → 95.0%, with plain few-shot at 61.7%). On </w:t>
      </w:r>
      <w:r>
        <w:rPr>
          <w:rFonts w:ascii="Times New Roman" w:hAnsi="Times New Roman" w:eastAsia="Times New Roman"/>
          <w:b/>
          <w:sz w:val="24"/>
        </w:rPr>
        <w:t>StrategyQA</w:t>
      </w:r>
      <w:r>
        <w:rPr>
          <w:rFonts w:ascii="Times New Roman" w:hAnsi="Times New Roman" w:eastAsia="Times New Roman"/>
          <w:sz w:val="24"/>
        </w:rPr>
        <w:t xml:space="preserve">, differences between strategies are small (ALLaM 66.7–75.0%, Qwen 76.5–86.3%) and their confidence intervals overlap heavily. On </w:t>
      </w:r>
      <w:r>
        <w:rPr>
          <w:rFonts w:ascii="Times New Roman" w:hAnsi="Times New Roman" w:eastAsia="Times New Roman"/>
          <w:b/>
          <w:sz w:val="24"/>
        </w:rPr>
        <w:t>Date Understanding</w:t>
      </w:r>
      <w:r>
        <w:rPr>
          <w:rFonts w:ascii="Times New Roman" w:hAnsi="Times New Roman" w:eastAsia="Times New Roman"/>
          <w:sz w:val="24"/>
        </w:rPr>
        <w:t xml:space="preserve"> (ALLaM only), few-shot CoT is best at 56.7% against 36.7% for zero-shot, but zero-shot CoT is actually lower than zero-shot (30.0%).</w:t>
      </w:r>
    </w:p>
    <w:p>
      <w:pPr>
        <w:spacing w:line="240" w:lineRule="auto" w:after="120"/>
        <w:jc w:val="center"/>
      </w:pPr>
      <w:r>
        <w:drawing>
          <wp:inline xmlns:a="http://schemas.openxmlformats.org/drawingml/2006/main" xmlns:pic="http://schemas.openxmlformats.org/drawingml/2006/picture">
            <wp:extent cx="3017520" cy="1724297"/>
            <wp:docPr id="2" name="Picture 2"/>
            <wp:cNvGraphicFramePr>
              <a:graphicFrameLocks noChangeAspect="1"/>
            </wp:cNvGraphicFramePr>
            <a:graphic>
              <a:graphicData uri="http://schemas.openxmlformats.org/drawingml/2006/picture">
                <pic:pic>
                  <pic:nvPicPr>
                    <pic:cNvPr id="0" name="acc_allam-2-7b.png"/>
                    <pic:cNvPicPr/>
                  </pic:nvPicPr>
                  <pic:blipFill>
                    <a:blip r:embed="rId10"/>
                    <a:stretch>
                      <a:fillRect/>
                    </a:stretch>
                  </pic:blipFill>
                  <pic:spPr>
                    <a:xfrm>
                      <a:off x="0" y="0"/>
                      <a:ext cx="3017520" cy="1724297"/>
                    </a:xfrm>
                    <a:prstGeom prst="rect"/>
                  </pic:spPr>
                </pic:pic>
              </a:graphicData>
            </a:graphic>
          </wp:inline>
        </w:drawing>
      </w:r>
      <w:r>
        <w:rPr>
          <w:rFonts w:ascii="Times New Roman" w:hAnsi="Times New Roman" w:eastAsia="Times New Roman"/>
          <w:sz w:val="22"/>
        </w:rPr>
        <w:br/>
      </w:r>
      <w:r>
        <w:rPr>
          <w:rFonts w:ascii="Times New Roman" w:hAnsi="Times New Roman" w:eastAsia="Times New Roman"/>
          <w:b/>
          <w:sz w:val="22"/>
        </w:rPr>
        <w:t>Figure 2: Accuracy of ALLaM-2-7B by strategy and dataset (error bars: 95% Wilson interval)</w:t>
      </w:r>
    </w:p>
    <w:p>
      <w:pPr>
        <w:spacing w:line="240" w:lineRule="auto" w:after="120"/>
        <w:jc w:val="center"/>
      </w:pPr>
      <w:r>
        <w:drawing>
          <wp:inline xmlns:a="http://schemas.openxmlformats.org/drawingml/2006/main" xmlns:pic="http://schemas.openxmlformats.org/drawingml/2006/picture">
            <wp:extent cx="3017520" cy="1724297"/>
            <wp:docPr id="3" name="Picture 3"/>
            <wp:cNvGraphicFramePr>
              <a:graphicFrameLocks noChangeAspect="1"/>
            </wp:cNvGraphicFramePr>
            <a:graphic>
              <a:graphicData uri="http://schemas.openxmlformats.org/drawingml/2006/picture">
                <pic:pic>
                  <pic:nvPicPr>
                    <pic:cNvPr id="0" name="acc_qwen_qwen3.8-27b.png"/>
                    <pic:cNvPicPr/>
                  </pic:nvPicPr>
                  <pic:blipFill>
                    <a:blip r:embed="rId11"/>
                    <a:stretch>
                      <a:fillRect/>
                    </a:stretch>
                  </pic:blipFill>
                  <pic:spPr>
                    <a:xfrm>
                      <a:off x="0" y="0"/>
                      <a:ext cx="3017520" cy="1724297"/>
                    </a:xfrm>
                    <a:prstGeom prst="rect"/>
                  </pic:spPr>
                </pic:pic>
              </a:graphicData>
            </a:graphic>
          </wp:inline>
        </w:drawing>
      </w:r>
      <w:r>
        <w:rPr>
          <w:rFonts w:ascii="Times New Roman" w:hAnsi="Times New Roman" w:eastAsia="Times New Roman"/>
          <w:sz w:val="22"/>
        </w:rPr>
        <w:br/>
      </w:r>
      <w:r>
        <w:rPr>
          <w:rFonts w:ascii="Times New Roman" w:hAnsi="Times New Roman" w:eastAsia="Times New Roman"/>
          <w:b/>
          <w:sz w:val="22"/>
        </w:rPr>
        <w:t>Figure 3: Accuracy of Qwen3.8-27B by strategy and dataset (error bars: 95% Wilson interval)</w:t>
      </w:r>
    </w:p>
    <w:p>
      <w:pPr>
        <w:keepNext/>
        <w:jc w:val="left"/>
      </w:pPr>
      <w:r>
        <w:rPr>
          <w:rFonts w:ascii="Times New Roman" w:hAnsi="Times New Roman" w:eastAsia="Times New Roman"/>
          <w:b/>
          <w:sz w:val="24"/>
        </w:rPr>
        <w:t>6.2 Statistical significance</w:t>
      </w:r>
    </w:p>
    <w:p>
      <w:pPr>
        <w:keepNext/>
        <w:spacing w:line="240" w:lineRule="auto" w:before="120"/>
        <w:jc w:val="center"/>
      </w:pPr>
      <w:r>
        <w:rPr>
          <w:rFonts w:ascii="Times New Roman" w:hAnsi="Times New Roman" w:eastAsia="Times New Roman"/>
          <w:b/>
          <w:sz w:val="22"/>
        </w:rPr>
        <w:t>Table 3: Exact McNemar p-value against zero-shot (questions fixed vs. broken)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val="clear" w:color="auto" w:fill="D9E2F3"/>
          </w:tcPr>
          <w:p>
            <w:pPr>
              <w:spacing w:line="240" w:lineRule="auto"/>
              <w:jc w:val="center"/>
            </w:pPr>
            <w:r/>
            <w:r>
              <w:rPr>
                <w:rFonts w:ascii="Times New Roman" w:hAnsi="Times New Roman" w:eastAsia="Times New Roman"/>
                <w:b/>
                <w:sz w:val="18"/>
              </w:rPr>
              <w:t>Model / dataset</w:t>
            </w:r>
          </w:p>
        </w:tc>
        <w:tc>
          <w:tcPr>
            <w:tcW w:type="dxa" w:w="2160"/>
            <w:shd w:val="clear" w:color="auto" w:fill="D9E2F3"/>
          </w:tcPr>
          <w:p>
            <w:pPr>
              <w:spacing w:line="240" w:lineRule="auto"/>
              <w:jc w:val="center"/>
            </w:pPr>
            <w:r/>
            <w:r>
              <w:rPr>
                <w:rFonts w:ascii="Times New Roman" w:hAnsi="Times New Roman" w:eastAsia="Times New Roman"/>
                <w:b/>
                <w:sz w:val="18"/>
              </w:rPr>
              <w:t>Zero-shot CoT</w:t>
            </w:r>
          </w:p>
        </w:tc>
        <w:tc>
          <w:tcPr>
            <w:tcW w:type="dxa" w:w="2160"/>
            <w:shd w:val="clear" w:color="auto" w:fill="D9E2F3"/>
          </w:tcPr>
          <w:p>
            <w:pPr>
              <w:spacing w:line="240" w:lineRule="auto"/>
              <w:jc w:val="center"/>
            </w:pPr>
            <w:r/>
            <w:r>
              <w:rPr>
                <w:rFonts w:ascii="Times New Roman" w:hAnsi="Times New Roman" w:eastAsia="Times New Roman"/>
                <w:b/>
                <w:sz w:val="18"/>
              </w:rPr>
              <w:t>Few-shot</w:t>
            </w:r>
          </w:p>
        </w:tc>
        <w:tc>
          <w:tcPr>
            <w:tcW w:type="dxa" w:w="2160"/>
            <w:shd w:val="clear" w:color="auto" w:fill="D9E2F3"/>
          </w:tcPr>
          <w:p>
            <w:pPr>
              <w:spacing w:line="240" w:lineRule="auto"/>
              <w:jc w:val="center"/>
            </w:pPr>
            <w:r/>
            <w:r>
              <w:rPr>
                <w:rFonts w:ascii="Times New Roman" w:hAnsi="Times New Roman" w:eastAsia="Times New Roman"/>
                <w:b/>
                <w:sz w:val="18"/>
              </w:rPr>
              <w:t>Few-shot CoT</w:t>
            </w:r>
          </w:p>
        </w:tc>
      </w:tr>
      <w:tr>
        <w:tc>
          <w:tcPr>
            <w:tcW w:type="dxa" w:w="3312"/>
          </w:tcPr>
          <w:p>
            <w:pPr>
              <w:spacing w:line="240" w:lineRule="auto"/>
              <w:jc w:val="left"/>
            </w:pPr>
            <w:r/>
            <w:r>
              <w:rPr>
                <w:rFonts w:ascii="Times New Roman" w:hAnsi="Times New Roman" w:eastAsia="Times New Roman"/>
                <w:sz w:val="18"/>
              </w:rPr>
              <w:t>ALLaM-2-7B / Date Und.</w:t>
            </w:r>
          </w:p>
        </w:tc>
        <w:tc>
          <w:tcPr>
            <w:tcW w:type="dxa" w:w="2160"/>
          </w:tcPr>
          <w:p>
            <w:pPr>
              <w:spacing w:line="240" w:lineRule="auto"/>
              <w:jc w:val="left"/>
            </w:pPr>
            <w:r/>
            <w:r>
              <w:rPr>
                <w:rFonts w:ascii="Times New Roman" w:hAnsi="Times New Roman" w:eastAsia="Times New Roman"/>
                <w:sz w:val="18"/>
              </w:rPr>
              <w:t>0.481 (7 vs 11)</w:t>
            </w:r>
          </w:p>
        </w:tc>
        <w:tc>
          <w:tcPr>
            <w:tcW w:type="dxa" w:w="2160"/>
          </w:tcPr>
          <w:p>
            <w:pPr>
              <w:spacing w:line="240" w:lineRule="auto"/>
              <w:jc w:val="center"/>
            </w:pPr>
            <w:r/>
            <w:r>
              <w:rPr>
                <w:rFonts w:ascii="Times New Roman" w:hAnsi="Times New Roman" w:eastAsia="Times New Roman"/>
                <w:sz w:val="18"/>
              </w:rPr>
              <w:t>0.227 (8 vs 3)</w:t>
            </w:r>
          </w:p>
        </w:tc>
        <w:tc>
          <w:tcPr>
            <w:tcW w:type="dxa" w:w="2160"/>
          </w:tcPr>
          <w:p>
            <w:pPr>
              <w:spacing w:line="240" w:lineRule="auto"/>
              <w:jc w:val="left"/>
            </w:pPr>
            <w:r/>
            <w:r>
              <w:rPr>
                <w:rFonts w:ascii="Times New Roman" w:hAnsi="Times New Roman" w:eastAsia="Times New Roman"/>
                <w:sz w:val="18"/>
              </w:rPr>
              <w:t>0.023 (18 vs 6)</w:t>
            </w:r>
          </w:p>
        </w:tc>
      </w:tr>
      <w:tr>
        <w:tc>
          <w:tcPr>
            <w:tcW w:type="dxa" w:w="3312"/>
          </w:tcPr>
          <w:p>
            <w:pPr>
              <w:spacing w:line="240" w:lineRule="auto"/>
              <w:jc w:val="left"/>
            </w:pPr>
            <w:r/>
            <w:r>
              <w:rPr>
                <w:rFonts w:ascii="Times New Roman" w:hAnsi="Times New Roman" w:eastAsia="Times New Roman"/>
                <w:sz w:val="18"/>
              </w:rPr>
              <w:t>ALLaM-2-7B / GSM8K</w:t>
            </w:r>
          </w:p>
        </w:tc>
        <w:tc>
          <w:tcPr>
            <w:tcW w:type="dxa" w:w="2160"/>
          </w:tcPr>
          <w:p>
            <w:pPr>
              <w:spacing w:line="240" w:lineRule="auto"/>
              <w:jc w:val="left"/>
            </w:pPr>
            <w:r/>
            <w:r>
              <w:rPr>
                <w:rFonts w:ascii="Times New Roman" w:hAnsi="Times New Roman" w:eastAsia="Times New Roman"/>
                <w:sz w:val="18"/>
              </w:rPr>
              <w:t>&lt;0.001 (24 vs 3)</w:t>
            </w:r>
          </w:p>
        </w:tc>
        <w:tc>
          <w:tcPr>
            <w:tcW w:type="dxa" w:w="2160"/>
          </w:tcPr>
          <w:p>
            <w:pPr>
              <w:spacing w:line="240" w:lineRule="auto"/>
              <w:jc w:val="center"/>
            </w:pPr>
            <w:r/>
            <w:r>
              <w:rPr>
                <w:rFonts w:ascii="Times New Roman" w:hAnsi="Times New Roman" w:eastAsia="Times New Roman"/>
                <w:sz w:val="18"/>
              </w:rPr>
              <w:t>1.000 (5 vs 4)</w:t>
            </w:r>
          </w:p>
        </w:tc>
        <w:tc>
          <w:tcPr>
            <w:tcW w:type="dxa" w:w="2160"/>
          </w:tcPr>
          <w:p>
            <w:pPr>
              <w:spacing w:line="240" w:lineRule="auto"/>
              <w:jc w:val="left"/>
            </w:pPr>
            <w:r/>
            <w:r>
              <w:rPr>
                <w:rFonts w:ascii="Times New Roman" w:hAnsi="Times New Roman" w:eastAsia="Times New Roman"/>
                <w:sz w:val="18"/>
              </w:rPr>
              <w:t>&lt;0.001 (29 vs 2)</w:t>
            </w:r>
          </w:p>
        </w:tc>
      </w:tr>
      <w:tr>
        <w:tc>
          <w:tcPr>
            <w:tcW w:type="dxa" w:w="3312"/>
          </w:tcPr>
          <w:p>
            <w:pPr>
              <w:spacing w:line="240" w:lineRule="auto"/>
              <w:jc w:val="left"/>
            </w:pPr>
            <w:r/>
            <w:r>
              <w:rPr>
                <w:rFonts w:ascii="Times New Roman" w:hAnsi="Times New Roman" w:eastAsia="Times New Roman"/>
                <w:sz w:val="18"/>
              </w:rPr>
              <w:t>ALLaM-2-7B / StrategyQA</w:t>
            </w:r>
          </w:p>
        </w:tc>
        <w:tc>
          <w:tcPr>
            <w:tcW w:type="dxa" w:w="2160"/>
          </w:tcPr>
          <w:p>
            <w:pPr>
              <w:spacing w:line="240" w:lineRule="auto"/>
              <w:jc w:val="center"/>
            </w:pPr>
            <w:r/>
            <w:r>
              <w:rPr>
                <w:rFonts w:ascii="Times New Roman" w:hAnsi="Times New Roman" w:eastAsia="Times New Roman"/>
                <w:sz w:val="18"/>
              </w:rPr>
              <w:t>0.607 (9 vs 6)</w:t>
            </w:r>
          </w:p>
        </w:tc>
        <w:tc>
          <w:tcPr>
            <w:tcW w:type="dxa" w:w="2160"/>
          </w:tcPr>
          <w:p>
            <w:pPr>
              <w:spacing w:line="240" w:lineRule="auto"/>
              <w:jc w:val="center"/>
            </w:pPr>
            <w:r/>
            <w:r>
              <w:rPr>
                <w:rFonts w:ascii="Times New Roman" w:hAnsi="Times New Roman" w:eastAsia="Times New Roman"/>
                <w:sz w:val="18"/>
              </w:rPr>
              <w:t>0.688 (2 vs 4)</w:t>
            </w:r>
          </w:p>
        </w:tc>
        <w:tc>
          <w:tcPr>
            <w:tcW w:type="dxa" w:w="2160"/>
          </w:tcPr>
          <w:p>
            <w:pPr>
              <w:spacing w:line="240" w:lineRule="auto"/>
              <w:jc w:val="center"/>
            </w:pPr>
            <w:r/>
            <w:r>
              <w:rPr>
                <w:rFonts w:ascii="Times New Roman" w:hAnsi="Times New Roman" w:eastAsia="Times New Roman"/>
                <w:sz w:val="18"/>
              </w:rPr>
              <w:t>1.000 (4 vs 5)</w:t>
            </w:r>
          </w:p>
        </w:tc>
      </w:tr>
      <w:tr>
        <w:tc>
          <w:tcPr>
            <w:tcW w:type="dxa" w:w="3312"/>
          </w:tcPr>
          <w:p>
            <w:pPr>
              <w:spacing w:line="240" w:lineRule="auto"/>
              <w:jc w:val="left"/>
            </w:pPr>
            <w:r/>
            <w:r>
              <w:rPr>
                <w:rFonts w:ascii="Times New Roman" w:hAnsi="Times New Roman" w:eastAsia="Times New Roman"/>
                <w:sz w:val="18"/>
              </w:rPr>
              <w:t>Qwen3.8-27B / GSM8K</w:t>
            </w:r>
          </w:p>
        </w:tc>
        <w:tc>
          <w:tcPr>
            <w:tcW w:type="dxa" w:w="2160"/>
          </w:tcPr>
          <w:p>
            <w:pPr>
              <w:spacing w:line="240" w:lineRule="auto"/>
              <w:jc w:val="left"/>
            </w:pPr>
            <w:r/>
            <w:r>
              <w:rPr>
                <w:rFonts w:ascii="Times New Roman" w:hAnsi="Times New Roman" w:eastAsia="Times New Roman"/>
                <w:sz w:val="18"/>
              </w:rPr>
              <w:t>&lt;0.001 (24 vs 0)</w:t>
            </w:r>
          </w:p>
        </w:tc>
        <w:tc>
          <w:tcPr>
            <w:tcW w:type="dxa" w:w="2160"/>
          </w:tcPr>
          <w:p>
            <w:pPr>
              <w:spacing w:line="240" w:lineRule="auto"/>
              <w:jc w:val="center"/>
            </w:pPr>
            <w:r/>
            <w:r>
              <w:rPr>
                <w:rFonts w:ascii="Times New Roman" w:hAnsi="Times New Roman" w:eastAsia="Times New Roman"/>
                <w:sz w:val="18"/>
              </w:rPr>
              <w:t>0.180 (7 vs 2)</w:t>
            </w:r>
          </w:p>
        </w:tc>
        <w:tc>
          <w:tcPr>
            <w:tcW w:type="dxa" w:w="2160"/>
          </w:tcPr>
          <w:p>
            <w:pPr>
              <w:spacing w:line="240" w:lineRule="auto"/>
              <w:jc w:val="left"/>
            </w:pPr>
            <w:r/>
            <w:r>
              <w:rPr>
                <w:rFonts w:ascii="Times New Roman" w:hAnsi="Times New Roman" w:eastAsia="Times New Roman"/>
                <w:sz w:val="18"/>
              </w:rPr>
              <w:t>&lt;0.001 (25 vs 0)</w:t>
            </w:r>
          </w:p>
        </w:tc>
      </w:tr>
      <w:tr>
        <w:tc>
          <w:tcPr>
            <w:tcW w:type="dxa" w:w="3312"/>
          </w:tcPr>
          <w:p>
            <w:pPr>
              <w:spacing w:line="240" w:lineRule="auto"/>
              <w:jc w:val="left"/>
            </w:pPr>
            <w:r/>
            <w:r>
              <w:rPr>
                <w:rFonts w:ascii="Times New Roman" w:hAnsi="Times New Roman" w:eastAsia="Times New Roman"/>
                <w:sz w:val="18"/>
              </w:rPr>
              <w:t>Qwen3.8-27B / StrategyQA</w:t>
            </w:r>
          </w:p>
        </w:tc>
        <w:tc>
          <w:tcPr>
            <w:tcW w:type="dxa" w:w="2160"/>
          </w:tcPr>
          <w:p>
            <w:pPr>
              <w:spacing w:line="240" w:lineRule="auto"/>
              <w:jc w:val="center"/>
            </w:pPr>
            <w:r/>
            <w:r>
              <w:rPr>
                <w:rFonts w:ascii="Times New Roman" w:hAnsi="Times New Roman" w:eastAsia="Times New Roman"/>
                <w:sz w:val="18"/>
              </w:rPr>
              <w:t>0.754 (6 vs 4)</w:t>
            </w:r>
          </w:p>
        </w:tc>
        <w:tc>
          <w:tcPr>
            <w:tcW w:type="dxa" w:w="2160"/>
          </w:tcPr>
          <w:p>
            <w:pPr>
              <w:spacing w:line="240" w:lineRule="auto"/>
              <w:jc w:val="center"/>
            </w:pPr>
            <w:r/>
            <w:r>
              <w:rPr>
                <w:rFonts w:ascii="Times New Roman" w:hAnsi="Times New Roman" w:eastAsia="Times New Roman"/>
                <w:sz w:val="18"/>
              </w:rPr>
              <w:t>0.062 (5 vs 0)</w:t>
            </w:r>
          </w:p>
        </w:tc>
        <w:tc>
          <w:tcPr>
            <w:tcW w:type="dxa" w:w="2160"/>
          </w:tcPr>
          <w:p>
            <w:pPr>
              <w:spacing w:line="240" w:lineRule="auto"/>
              <w:jc w:val="center"/>
            </w:pPr>
            <w:r/>
            <w:r>
              <w:rPr>
                <w:rFonts w:ascii="Times New Roman" w:hAnsi="Times New Roman" w:eastAsia="Times New Roman"/>
                <w:sz w:val="18"/>
              </w:rPr>
              <w:t>0.453 (5 vs 2)</w:t>
            </w:r>
          </w:p>
        </w:tc>
      </w:tr>
    </w:tbl>
    <w:p>
      <w:pPr>
        <w:spacing w:line="120" w:lineRule="exact" w:after="0"/>
      </w:pPr>
    </w:p>
    <w:p>
      <w:pPr>
        <w:jc w:val="both"/>
      </w:pPr>
      <w:r>
        <w:rPr>
          <w:rFonts w:ascii="Times New Roman" w:hAnsi="Times New Roman" w:eastAsia="Times New Roman"/>
          <w:sz w:val="24"/>
        </w:rPr>
        <w:t>Table 3 gives the exact McNemar p-value of each strategy against zero-shot, with the number of questions the strategy fixed versus broke in brackets. With 60 questions per cell, only large effects reach significance at the 5% level. The GSM8K gains from CoT are highly significant for both models (p &lt; 0.001; for example, Qwen fixed 24 questions with zero-shot CoT and broke none). Few-shot examples alone did not significantly help on GSM8K for either model (ALLaM p = 1.000, Qwen p = 0.180). On StrategyQA no comparison is significant (all p ≥ 0.06; Qwen's few-shot gain from 76.5% to 86.3% is borderline at p = 0.0625). On Date Understanding only ALLaM's few-shot CoT beats zero-shot significantly (p = 0.023), and it also beats zero-shot CoT (p = 0.0015). Because many comparisons were made without correction, the borderline p-values should be treated as suggestive only.</w:t>
      </w:r>
    </w:p>
    <w:p>
      <w:pPr>
        <w:keepNext/>
        <w:jc w:val="left"/>
      </w:pPr>
      <w:r>
        <w:rPr>
          <w:rFonts w:ascii="Times New Roman" w:hAnsi="Times New Roman" w:eastAsia="Times New Roman"/>
          <w:b/>
          <w:sz w:val="24"/>
        </w:rPr>
        <w:t>6.3 Cost of each strategy</w:t>
      </w:r>
    </w:p>
    <w:p>
      <w:pPr>
        <w:keepNext/>
        <w:spacing w:line="240" w:lineRule="auto" w:before="120"/>
        <w:jc w:val="center"/>
      </w:pPr>
      <w:r>
        <w:rPr>
          <w:rFonts w:ascii="Times New Roman" w:hAnsi="Times New Roman" w:eastAsia="Times New Roman"/>
          <w:b/>
          <w:sz w:val="22"/>
        </w:rPr>
        <w:t>Table 4: Output length and pooled accuracy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2F3"/>
          </w:tcPr>
          <w:p>
            <w:pPr>
              <w:spacing w:line="240" w:lineRule="auto"/>
              <w:jc w:val="center"/>
            </w:pPr>
            <w:r/>
            <w:r>
              <w:rPr>
                <w:rFonts w:ascii="Times New Roman" w:hAnsi="Times New Roman" w:eastAsia="Times New Roman"/>
                <w:b/>
                <w:sz w:val="18"/>
              </w:rPr>
              <w:t>Model</w:t>
            </w:r>
          </w:p>
        </w:tc>
        <w:tc>
          <w:tcPr>
            <w:tcW w:type="dxa" w:w="2592"/>
            <w:shd w:val="clear" w:color="auto" w:fill="D9E2F3"/>
          </w:tcPr>
          <w:p>
            <w:pPr>
              <w:spacing w:line="240" w:lineRule="auto"/>
              <w:jc w:val="center"/>
            </w:pPr>
            <w:r/>
            <w:r>
              <w:rPr>
                <w:rFonts w:ascii="Times New Roman" w:hAnsi="Times New Roman" w:eastAsia="Times New Roman"/>
                <w:b/>
                <w:sz w:val="18"/>
              </w:rPr>
              <w:t>Strategy</w:t>
            </w:r>
          </w:p>
        </w:tc>
        <w:tc>
          <w:tcPr>
            <w:tcW w:type="dxa" w:w="2304"/>
            <w:shd w:val="clear" w:color="auto" w:fill="D9E2F3"/>
          </w:tcPr>
          <w:p>
            <w:pPr>
              <w:spacing w:line="240" w:lineRule="auto"/>
              <w:jc w:val="center"/>
            </w:pPr>
            <w:r/>
            <w:r>
              <w:rPr>
                <w:rFonts w:ascii="Times New Roman" w:hAnsi="Times New Roman" w:eastAsia="Times New Roman"/>
                <w:b/>
                <w:sz w:val="18"/>
              </w:rPr>
              <w:t>Mean output tokens</w:t>
            </w:r>
          </w:p>
        </w:tc>
        <w:tc>
          <w:tcPr>
            <w:tcW w:type="dxa" w:w="2304"/>
            <w:shd w:val="clear" w:color="auto" w:fill="D9E2F3"/>
          </w:tcPr>
          <w:p>
            <w:pPr>
              <w:spacing w:line="240" w:lineRule="auto"/>
              <w:jc w:val="center"/>
            </w:pPr>
            <w:r/>
            <w:r>
              <w:rPr>
                <w:rFonts w:ascii="Times New Roman" w:hAnsi="Times New Roman" w:eastAsia="Times New Roman"/>
                <w:b/>
                <w:sz w:val="18"/>
              </w:rPr>
              <w:t>Overall accuracy %</w:t>
            </w:r>
          </w:p>
        </w:tc>
      </w:tr>
      <w:tr>
        <w:tc>
          <w:tcPr>
            <w:tcW w:type="dxa" w:w="2304"/>
          </w:tcPr>
          <w:p>
            <w:pPr>
              <w:spacing w:line="240" w:lineRule="auto"/>
              <w:jc w:val="left"/>
            </w:pPr>
            <w:r/>
            <w:r>
              <w:rPr>
                <w:rFonts w:ascii="Times New Roman" w:hAnsi="Times New Roman" w:eastAsia="Times New Roman"/>
                <w:sz w:val="18"/>
              </w:rPr>
              <w:t>ALLaM-2-7B</w:t>
            </w:r>
          </w:p>
        </w:tc>
        <w:tc>
          <w:tcPr>
            <w:tcW w:type="dxa" w:w="2592"/>
          </w:tcPr>
          <w:p>
            <w:pPr>
              <w:spacing w:line="240" w:lineRule="auto"/>
              <w:jc w:val="center"/>
            </w:pPr>
            <w:r/>
            <w:r>
              <w:rPr>
                <w:rFonts w:ascii="Times New Roman" w:hAnsi="Times New Roman" w:eastAsia="Times New Roman"/>
                <w:sz w:val="18"/>
              </w:rPr>
              <w:t>Zero-shot</w:t>
            </w:r>
          </w:p>
        </w:tc>
        <w:tc>
          <w:tcPr>
            <w:tcW w:type="dxa" w:w="2304"/>
          </w:tcPr>
          <w:p>
            <w:pPr>
              <w:spacing w:line="240" w:lineRule="auto"/>
              <w:jc w:val="center"/>
            </w:pPr>
            <w:r/>
            <w:r>
              <w:rPr>
                <w:rFonts w:ascii="Times New Roman" w:hAnsi="Times New Roman" w:eastAsia="Times New Roman"/>
                <w:sz w:val="18"/>
              </w:rPr>
              <w:t>12.3</w:t>
            </w:r>
          </w:p>
        </w:tc>
        <w:tc>
          <w:tcPr>
            <w:tcW w:type="dxa" w:w="2304"/>
          </w:tcPr>
          <w:p>
            <w:pPr>
              <w:spacing w:line="240" w:lineRule="auto"/>
              <w:jc w:val="center"/>
            </w:pPr>
            <w:r/>
            <w:r>
              <w:rPr>
                <w:rFonts w:ascii="Times New Roman" w:hAnsi="Times New Roman" w:eastAsia="Times New Roman"/>
                <w:sz w:val="18"/>
              </w:rPr>
              <w:t>39.4</w:t>
            </w:r>
          </w:p>
        </w:tc>
      </w:tr>
      <w:tr>
        <w:tc>
          <w:tcPr>
            <w:tcW w:type="dxa" w:w="2304"/>
          </w:tcPr>
          <w:p>
            <w:pPr>
              <w:spacing w:line="240" w:lineRule="auto"/>
              <w:jc w:val="left"/>
            </w:pPr>
            <w:r/>
            <w:r>
              <w:rPr>
                <w:rFonts w:ascii="Times New Roman" w:hAnsi="Times New Roman" w:eastAsia="Times New Roman"/>
                <w:sz w:val="18"/>
              </w:rPr>
              <w:t>ALLaM-2-7B</w:t>
            </w:r>
          </w:p>
        </w:tc>
        <w:tc>
          <w:tcPr>
            <w:tcW w:type="dxa" w:w="2592"/>
          </w:tcPr>
          <w:p>
            <w:pPr>
              <w:spacing w:line="240" w:lineRule="auto"/>
              <w:jc w:val="center"/>
            </w:pPr>
            <w:r/>
            <w:r>
              <w:rPr>
                <w:rFonts w:ascii="Times New Roman" w:hAnsi="Times New Roman" w:eastAsia="Times New Roman"/>
                <w:sz w:val="18"/>
              </w:rPr>
              <w:t>Zero-shot CoT</w:t>
            </w:r>
          </w:p>
        </w:tc>
        <w:tc>
          <w:tcPr>
            <w:tcW w:type="dxa" w:w="2304"/>
          </w:tcPr>
          <w:p>
            <w:pPr>
              <w:spacing w:line="240" w:lineRule="auto"/>
              <w:jc w:val="center"/>
            </w:pPr>
            <w:r/>
            <w:r>
              <w:rPr>
                <w:rFonts w:ascii="Times New Roman" w:hAnsi="Times New Roman" w:eastAsia="Times New Roman"/>
                <w:sz w:val="18"/>
              </w:rPr>
              <w:t>233.7</w:t>
            </w:r>
          </w:p>
        </w:tc>
        <w:tc>
          <w:tcPr>
            <w:tcW w:type="dxa" w:w="2304"/>
          </w:tcPr>
          <w:p>
            <w:pPr>
              <w:spacing w:line="240" w:lineRule="auto"/>
              <w:jc w:val="center"/>
            </w:pPr>
            <w:r/>
            <w:r>
              <w:rPr>
                <w:rFonts w:ascii="Times New Roman" w:hAnsi="Times New Roman" w:eastAsia="Times New Roman"/>
                <w:sz w:val="18"/>
              </w:rPr>
              <w:t>50.6</w:t>
            </w:r>
          </w:p>
        </w:tc>
      </w:tr>
      <w:tr>
        <w:tc>
          <w:tcPr>
            <w:tcW w:type="dxa" w:w="2304"/>
          </w:tcPr>
          <w:p>
            <w:pPr>
              <w:spacing w:line="240" w:lineRule="auto"/>
              <w:jc w:val="left"/>
            </w:pPr>
            <w:r/>
            <w:r>
              <w:rPr>
                <w:rFonts w:ascii="Times New Roman" w:hAnsi="Times New Roman" w:eastAsia="Times New Roman"/>
                <w:sz w:val="18"/>
              </w:rPr>
              <w:t>ALLaM-2-7B</w:t>
            </w:r>
          </w:p>
        </w:tc>
        <w:tc>
          <w:tcPr>
            <w:tcW w:type="dxa" w:w="2592"/>
          </w:tcPr>
          <w:p>
            <w:pPr>
              <w:spacing w:line="240" w:lineRule="auto"/>
              <w:jc w:val="center"/>
            </w:pPr>
            <w:r/>
            <w:r>
              <w:rPr>
                <w:rFonts w:ascii="Times New Roman" w:hAnsi="Times New Roman" w:eastAsia="Times New Roman"/>
                <w:sz w:val="18"/>
              </w:rPr>
              <w:t>Few-shot</w:t>
            </w:r>
          </w:p>
        </w:tc>
        <w:tc>
          <w:tcPr>
            <w:tcW w:type="dxa" w:w="2304"/>
          </w:tcPr>
          <w:p>
            <w:pPr>
              <w:spacing w:line="240" w:lineRule="auto"/>
              <w:jc w:val="center"/>
            </w:pPr>
            <w:r/>
            <w:r>
              <w:rPr>
                <w:rFonts w:ascii="Times New Roman" w:hAnsi="Times New Roman" w:eastAsia="Times New Roman"/>
                <w:sz w:val="18"/>
              </w:rPr>
              <w:t>8.3</w:t>
            </w:r>
          </w:p>
        </w:tc>
        <w:tc>
          <w:tcPr>
            <w:tcW w:type="dxa" w:w="2304"/>
          </w:tcPr>
          <w:p>
            <w:pPr>
              <w:spacing w:line="240" w:lineRule="auto"/>
              <w:jc w:val="center"/>
            </w:pPr>
            <w:r/>
            <w:r>
              <w:rPr>
                <w:rFonts w:ascii="Times New Roman" w:hAnsi="Times New Roman" w:eastAsia="Times New Roman"/>
                <w:sz w:val="18"/>
              </w:rPr>
              <w:t>41.7</w:t>
            </w:r>
          </w:p>
        </w:tc>
      </w:tr>
      <w:tr>
        <w:tc>
          <w:tcPr>
            <w:tcW w:type="dxa" w:w="2304"/>
          </w:tcPr>
          <w:p>
            <w:pPr>
              <w:spacing w:line="240" w:lineRule="auto"/>
              <w:jc w:val="left"/>
            </w:pPr>
            <w:r/>
            <w:r>
              <w:rPr>
                <w:rFonts w:ascii="Times New Roman" w:hAnsi="Times New Roman" w:eastAsia="Times New Roman"/>
                <w:sz w:val="18"/>
              </w:rPr>
              <w:t>ALLaM-2-7B</w:t>
            </w:r>
          </w:p>
        </w:tc>
        <w:tc>
          <w:tcPr>
            <w:tcW w:type="dxa" w:w="2592"/>
          </w:tcPr>
          <w:p>
            <w:pPr>
              <w:spacing w:line="240" w:lineRule="auto"/>
              <w:jc w:val="center"/>
            </w:pPr>
            <w:r/>
            <w:r>
              <w:rPr>
                <w:rFonts w:ascii="Times New Roman" w:hAnsi="Times New Roman" w:eastAsia="Times New Roman"/>
                <w:sz w:val="18"/>
              </w:rPr>
              <w:t>Few-shot CoT</w:t>
            </w:r>
          </w:p>
        </w:tc>
        <w:tc>
          <w:tcPr>
            <w:tcW w:type="dxa" w:w="2304"/>
          </w:tcPr>
          <w:p>
            <w:pPr>
              <w:spacing w:line="240" w:lineRule="auto"/>
              <w:jc w:val="center"/>
            </w:pPr>
            <w:r/>
            <w:r>
              <w:rPr>
                <w:rFonts w:ascii="Times New Roman" w:hAnsi="Times New Roman" w:eastAsia="Times New Roman"/>
                <w:sz w:val="18"/>
              </w:rPr>
              <w:t>104.6</w:t>
            </w:r>
          </w:p>
        </w:tc>
        <w:tc>
          <w:tcPr>
            <w:tcW w:type="dxa" w:w="2304"/>
          </w:tcPr>
          <w:p>
            <w:pPr>
              <w:spacing w:line="240" w:lineRule="auto"/>
              <w:jc w:val="center"/>
            </w:pPr>
            <w:r/>
            <w:r>
              <w:rPr>
                <w:rFonts w:ascii="Times New Roman" w:hAnsi="Times New Roman" w:eastAsia="Times New Roman"/>
                <w:sz w:val="18"/>
              </w:rPr>
              <w:t>60.6</w:t>
            </w:r>
          </w:p>
        </w:tc>
      </w:tr>
      <w:tr>
        <w:tc>
          <w:tcPr>
            <w:tcW w:type="dxa" w:w="2304"/>
          </w:tcPr>
          <w:p>
            <w:pPr>
              <w:spacing w:line="240" w:lineRule="auto"/>
              <w:jc w:val="left"/>
            </w:pPr>
            <w:r/>
            <w:r>
              <w:rPr>
                <w:rFonts w:ascii="Times New Roman" w:hAnsi="Times New Roman" w:eastAsia="Times New Roman"/>
                <w:sz w:val="18"/>
              </w:rPr>
              <w:t>Qwen3.8-27B</w:t>
            </w:r>
          </w:p>
        </w:tc>
        <w:tc>
          <w:tcPr>
            <w:tcW w:type="dxa" w:w="2592"/>
          </w:tcPr>
          <w:p>
            <w:pPr>
              <w:spacing w:line="240" w:lineRule="auto"/>
              <w:jc w:val="center"/>
            </w:pPr>
            <w:r/>
            <w:r>
              <w:rPr>
                <w:rFonts w:ascii="Times New Roman" w:hAnsi="Times New Roman" w:eastAsia="Times New Roman"/>
                <w:sz w:val="18"/>
              </w:rPr>
              <w:t>Zero-shot</w:t>
            </w:r>
          </w:p>
        </w:tc>
        <w:tc>
          <w:tcPr>
            <w:tcW w:type="dxa" w:w="2304"/>
          </w:tcPr>
          <w:p>
            <w:pPr>
              <w:spacing w:line="240" w:lineRule="auto"/>
              <w:jc w:val="center"/>
            </w:pPr>
            <w:r/>
            <w:r>
              <w:rPr>
                <w:rFonts w:ascii="Times New Roman" w:hAnsi="Times New Roman" w:eastAsia="Times New Roman"/>
                <w:sz w:val="18"/>
              </w:rPr>
              <w:t>6.3</w:t>
            </w:r>
          </w:p>
        </w:tc>
        <w:tc>
          <w:tcPr>
            <w:tcW w:type="dxa" w:w="2304"/>
          </w:tcPr>
          <w:p>
            <w:pPr>
              <w:spacing w:line="240" w:lineRule="auto"/>
              <w:jc w:val="center"/>
            </w:pPr>
            <w:r/>
            <w:r>
              <w:rPr>
                <w:rFonts w:ascii="Times New Roman" w:hAnsi="Times New Roman" w:eastAsia="Times New Roman"/>
                <w:sz w:val="18"/>
              </w:rPr>
              <w:t>64.0</w:t>
            </w:r>
          </w:p>
        </w:tc>
      </w:tr>
      <w:tr>
        <w:tc>
          <w:tcPr>
            <w:tcW w:type="dxa" w:w="2304"/>
          </w:tcPr>
          <w:p>
            <w:pPr>
              <w:spacing w:line="240" w:lineRule="auto"/>
              <w:jc w:val="left"/>
            </w:pPr>
            <w:r/>
            <w:r>
              <w:rPr>
                <w:rFonts w:ascii="Times New Roman" w:hAnsi="Times New Roman" w:eastAsia="Times New Roman"/>
                <w:sz w:val="18"/>
              </w:rPr>
              <w:t>Qwen3.8-27B</w:t>
            </w:r>
          </w:p>
        </w:tc>
        <w:tc>
          <w:tcPr>
            <w:tcW w:type="dxa" w:w="2592"/>
          </w:tcPr>
          <w:p>
            <w:pPr>
              <w:spacing w:line="240" w:lineRule="auto"/>
              <w:jc w:val="center"/>
            </w:pPr>
            <w:r/>
            <w:r>
              <w:rPr>
                <w:rFonts w:ascii="Times New Roman" w:hAnsi="Times New Roman" w:eastAsia="Times New Roman"/>
                <w:sz w:val="18"/>
              </w:rPr>
              <w:t>Zero-shot CoT</w:t>
            </w:r>
          </w:p>
        </w:tc>
        <w:tc>
          <w:tcPr>
            <w:tcW w:type="dxa" w:w="2304"/>
          </w:tcPr>
          <w:p>
            <w:pPr>
              <w:spacing w:line="240" w:lineRule="auto"/>
              <w:jc w:val="center"/>
            </w:pPr>
            <w:r/>
            <w:r>
              <w:rPr>
                <w:rFonts w:ascii="Times New Roman" w:hAnsi="Times New Roman" w:eastAsia="Times New Roman"/>
                <w:sz w:val="18"/>
              </w:rPr>
              <w:t>423.9</w:t>
            </w:r>
          </w:p>
        </w:tc>
        <w:tc>
          <w:tcPr>
            <w:tcW w:type="dxa" w:w="2304"/>
          </w:tcPr>
          <w:p>
            <w:pPr>
              <w:spacing w:line="240" w:lineRule="auto"/>
              <w:jc w:val="center"/>
            </w:pPr>
            <w:r/>
            <w:r>
              <w:rPr>
                <w:rFonts w:ascii="Times New Roman" w:hAnsi="Times New Roman" w:eastAsia="Times New Roman"/>
                <w:sz w:val="18"/>
              </w:rPr>
              <w:t>87.4</w:t>
            </w:r>
          </w:p>
        </w:tc>
      </w:tr>
      <w:tr>
        <w:tc>
          <w:tcPr>
            <w:tcW w:type="dxa" w:w="2304"/>
          </w:tcPr>
          <w:p>
            <w:pPr>
              <w:spacing w:line="240" w:lineRule="auto"/>
              <w:jc w:val="left"/>
            </w:pPr>
            <w:r/>
            <w:r>
              <w:rPr>
                <w:rFonts w:ascii="Times New Roman" w:hAnsi="Times New Roman" w:eastAsia="Times New Roman"/>
                <w:sz w:val="18"/>
              </w:rPr>
              <w:t>Qwen3.8-27B</w:t>
            </w:r>
          </w:p>
        </w:tc>
        <w:tc>
          <w:tcPr>
            <w:tcW w:type="dxa" w:w="2592"/>
          </w:tcPr>
          <w:p>
            <w:pPr>
              <w:spacing w:line="240" w:lineRule="auto"/>
              <w:jc w:val="center"/>
            </w:pPr>
            <w:r/>
            <w:r>
              <w:rPr>
                <w:rFonts w:ascii="Times New Roman" w:hAnsi="Times New Roman" w:eastAsia="Times New Roman"/>
                <w:sz w:val="18"/>
              </w:rPr>
              <w:t>Few-shot</w:t>
            </w:r>
          </w:p>
        </w:tc>
        <w:tc>
          <w:tcPr>
            <w:tcW w:type="dxa" w:w="2304"/>
          </w:tcPr>
          <w:p>
            <w:pPr>
              <w:spacing w:line="240" w:lineRule="auto"/>
              <w:jc w:val="center"/>
            </w:pPr>
            <w:r/>
            <w:r>
              <w:rPr>
                <w:rFonts w:ascii="Times New Roman" w:hAnsi="Times New Roman" w:eastAsia="Times New Roman"/>
                <w:sz w:val="18"/>
              </w:rPr>
              <w:t>5.3</w:t>
            </w:r>
          </w:p>
        </w:tc>
        <w:tc>
          <w:tcPr>
            <w:tcW w:type="dxa" w:w="2304"/>
          </w:tcPr>
          <w:p>
            <w:pPr>
              <w:spacing w:line="240" w:lineRule="auto"/>
              <w:jc w:val="center"/>
            </w:pPr>
            <w:r/>
            <w:r>
              <w:rPr>
                <w:rFonts w:ascii="Times New Roman" w:hAnsi="Times New Roman" w:eastAsia="Times New Roman"/>
                <w:sz w:val="18"/>
              </w:rPr>
              <w:t>73.0</w:t>
            </w:r>
          </w:p>
        </w:tc>
      </w:tr>
      <w:tr>
        <w:tc>
          <w:tcPr>
            <w:tcW w:type="dxa" w:w="2304"/>
          </w:tcPr>
          <w:p>
            <w:pPr>
              <w:spacing w:line="240" w:lineRule="auto"/>
              <w:jc w:val="left"/>
            </w:pPr>
            <w:r/>
            <w:r>
              <w:rPr>
                <w:rFonts w:ascii="Times New Roman" w:hAnsi="Times New Roman" w:eastAsia="Times New Roman"/>
                <w:sz w:val="18"/>
              </w:rPr>
              <w:t>Qwen3.8-27B</w:t>
            </w:r>
          </w:p>
        </w:tc>
        <w:tc>
          <w:tcPr>
            <w:tcW w:type="dxa" w:w="2592"/>
          </w:tcPr>
          <w:p>
            <w:pPr>
              <w:spacing w:line="240" w:lineRule="auto"/>
              <w:jc w:val="center"/>
            </w:pPr>
            <w:r/>
            <w:r>
              <w:rPr>
                <w:rFonts w:ascii="Times New Roman" w:hAnsi="Times New Roman" w:eastAsia="Times New Roman"/>
                <w:sz w:val="18"/>
              </w:rPr>
              <w:t>Few-shot CoT</w:t>
            </w:r>
          </w:p>
        </w:tc>
        <w:tc>
          <w:tcPr>
            <w:tcW w:type="dxa" w:w="2304"/>
          </w:tcPr>
          <w:p>
            <w:pPr>
              <w:spacing w:line="240" w:lineRule="auto"/>
              <w:jc w:val="center"/>
            </w:pPr>
            <w:r/>
            <w:r>
              <w:rPr>
                <w:rFonts w:ascii="Times New Roman" w:hAnsi="Times New Roman" w:eastAsia="Times New Roman"/>
                <w:sz w:val="18"/>
              </w:rPr>
              <w:t>248.6</w:t>
            </w:r>
          </w:p>
        </w:tc>
        <w:tc>
          <w:tcPr>
            <w:tcW w:type="dxa" w:w="2304"/>
          </w:tcPr>
          <w:p>
            <w:pPr>
              <w:spacing w:line="240" w:lineRule="auto"/>
              <w:jc w:val="center"/>
            </w:pPr>
            <w:r/>
            <w:r>
              <w:rPr>
                <w:rFonts w:ascii="Times New Roman" w:hAnsi="Times New Roman" w:eastAsia="Times New Roman"/>
                <w:sz w:val="18"/>
              </w:rPr>
              <w:t>89.2</w:t>
            </w:r>
          </w:p>
        </w:tc>
      </w:tr>
    </w:tbl>
    <w:p>
      <w:pPr>
        <w:spacing w:line="120" w:lineRule="exact" w:after="0"/>
      </w:pPr>
    </w:p>
    <w:p>
      <w:pPr>
        <w:jc w:val="both"/>
      </w:pPr>
      <w:r>
        <w:rPr>
          <w:rFonts w:ascii="Times New Roman" w:hAnsi="Times New Roman" w:eastAsia="Times New Roman"/>
          <w:sz w:val="24"/>
        </w:rPr>
        <w:t>Reasoning is paid for in output tokens. Answer-only strategies produce about 5-12 tokens, whereas CoT outputs are roughly 13 to 80 times longer. Interestingly, few-shot CoT is both more accurate and cheaper than zero-shot CoT for ALLaM (104.6 versus 233.7 tokens; 60.6% versus 50.6% pooled accuracy), because the worked examples teach the model to reason concisely. For Qwen, few-shot CoT used 248.6 tokens against 423.9 for zero-shot CoT. Pooled accuracies in Table 4 are averages over the datasets each model completed, so they must not be compared between the two models (Qwen has no Date Understanding results).</w:t>
      </w:r>
    </w:p>
    <w:p>
      <w:pPr>
        <w:spacing w:line="240" w:lineRule="auto" w:after="120"/>
        <w:jc w:val="center"/>
      </w:pPr>
      <w:r>
        <w:drawing>
          <wp:inline xmlns:a="http://schemas.openxmlformats.org/drawingml/2006/main" xmlns:pic="http://schemas.openxmlformats.org/drawingml/2006/picture">
            <wp:extent cx="2651760" cy="1679448"/>
            <wp:docPr id="4" name="Picture 4"/>
            <wp:cNvGraphicFramePr>
              <a:graphicFrameLocks noChangeAspect="1"/>
            </wp:cNvGraphicFramePr>
            <a:graphic>
              <a:graphicData uri="http://schemas.openxmlformats.org/drawingml/2006/picture">
                <pic:pic>
                  <pic:nvPicPr>
                    <pic:cNvPr id="0" name="cost_tradeoff.png"/>
                    <pic:cNvPicPr/>
                  </pic:nvPicPr>
                  <pic:blipFill>
                    <a:blip r:embed="rId12"/>
                    <a:stretch>
                      <a:fillRect/>
                    </a:stretch>
                  </pic:blipFill>
                  <pic:spPr>
                    <a:xfrm>
                      <a:off x="0" y="0"/>
                      <a:ext cx="2651760" cy="1679448"/>
                    </a:xfrm>
                    <a:prstGeom prst="rect"/>
                  </pic:spPr>
                </pic:pic>
              </a:graphicData>
            </a:graphic>
          </wp:inline>
        </w:drawing>
      </w:r>
      <w:r>
        <w:rPr>
          <w:rFonts w:ascii="Times New Roman" w:hAnsi="Times New Roman" w:eastAsia="Times New Roman"/>
          <w:sz w:val="22"/>
        </w:rPr>
        <w:br/>
      </w:r>
      <w:r>
        <w:rPr>
          <w:rFonts w:ascii="Times New Roman" w:hAnsi="Times New Roman" w:eastAsia="Times New Roman"/>
          <w:b/>
          <w:sz w:val="22"/>
        </w:rPr>
        <w:t>Figure 4: Pooled accuracy versus mean output tokens (log-like horizontal axis)</w:t>
      </w:r>
    </w:p>
    <w:p>
      <w:pPr>
        <w:keepNext/>
        <w:jc w:val="left"/>
      </w:pPr>
      <w:r>
        <w:rPr>
          <w:rFonts w:ascii="Times New Roman" w:hAnsi="Times New Roman" w:eastAsia="Times New Roman"/>
          <w:b/>
          <w:sz w:val="24"/>
        </w:rPr>
        <w:t>6.4 Error analysis</w:t>
      </w:r>
    </w:p>
    <w:p>
      <w:pPr>
        <w:jc w:val="both"/>
      </w:pPr>
      <w:r>
        <w:rPr>
          <w:rFonts w:ascii="Times New Roman" w:hAnsi="Times New Roman" w:eastAsia="Times New Roman"/>
          <w:b/>
          <w:sz w:val="24"/>
        </w:rPr>
        <w:t>Format failures.</w:t>
      </w:r>
      <w:r>
        <w:rPr>
          <w:rFonts w:ascii="Times New Roman" w:hAnsi="Times New Roman" w:eastAsia="Times New Roman"/>
          <w:sz w:val="24"/>
        </w:rPr>
        <w:t xml:space="preserve"> The largest single failure was in ALLaM's zero-shot CoT on Date Understanding: 14 of 60 answers gave a date (for example "Answer: 01/02/2015") instead of the requested option letter and so could not be scored. Among answers that could be parsed, zero-shot CoT (39.1%) is no better than zero-shot (38.6%), so on this task the lower score combines a format problem with an absence of real benefit. Few-shot prompting removed this failure entirely (0 of 60), because the examples show the answer format.</w:t>
      </w:r>
    </w:p>
    <w:p>
      <w:pPr>
        <w:jc w:val="both"/>
      </w:pPr>
      <w:r>
        <w:rPr>
          <w:rFonts w:ascii="Times New Roman" w:hAnsi="Times New Roman" w:eastAsia="Times New Roman"/>
          <w:b/>
          <w:sz w:val="24"/>
        </w:rPr>
        <w:t>Reasoning errors.</w:t>
      </w:r>
      <w:r>
        <w:rPr>
          <w:rFonts w:ascii="Times New Roman" w:hAnsi="Times New Roman" w:eastAsia="Times New Roman"/>
          <w:sz w:val="24"/>
        </w:rPr>
        <w:t xml:space="preserve"> Where CoT fails, the arithmetic or calendar logic is usually wrong rather than missing. In one ALLaM zero-shot CoT date answer the model computed "02/25/2011 − 10 = 02/15/2011" after reasoning from an incorrect intermediate date, and then chose the wrong option.</w:t>
      </w:r>
    </w:p>
    <w:p>
      <w:pPr>
        <w:jc w:val="both"/>
      </w:pPr>
      <w:r>
        <w:rPr>
          <w:rFonts w:ascii="Times New Roman" w:hAnsi="Times New Roman" w:eastAsia="Times New Roman"/>
          <w:b/>
          <w:sz w:val="24"/>
        </w:rPr>
        <w:t>Direct answers are guesses.</w:t>
      </w:r>
      <w:r>
        <w:rPr>
          <w:rFonts w:ascii="Times New Roman" w:hAnsi="Times New Roman" w:eastAsia="Times New Roman"/>
          <w:sz w:val="24"/>
        </w:rPr>
        <w:t xml:space="preserve"> On GSM8K the question "Marcus is half of Leo's age and five years younger than Deanna. Deanna is 26. How old is Leo?" (correct answer 42) was answered "20" by ALLaM and "62" by Qwen when asked for the answer only, but both were correct with few-shot CoT, writing 26 − 5 = 21 and 21 × 2 = 42. Without intermediate steps the models effectively guess.</w:t>
      </w:r>
    </w:p>
    <w:p>
      <w:pPr>
        <w:jc w:val="both"/>
      </w:pPr>
      <w:r>
        <w:rPr>
          <w:rFonts w:ascii="Times New Roman" w:hAnsi="Times New Roman" w:eastAsia="Times New Roman"/>
          <w:b/>
          <w:sz w:val="24"/>
        </w:rPr>
        <w:t>When reasoning does not help.</w:t>
      </w:r>
      <w:r>
        <w:rPr>
          <w:rFonts w:ascii="Times New Roman" w:hAnsi="Times New Roman" w:eastAsia="Times New Roman"/>
          <w:sz w:val="24"/>
        </w:rPr>
        <w:t xml:space="preserve"> On StrategyQA, Qwen's zero-shot CoT broke four questions that zero-shot had answered correctly. For "Is the Illuminati card game still popular?" (answer: No) the model wrote a plausible-sounding justification ending in "Yes". Longer reasoning can rationalise a wrong guess when the question depends on world knowledge rather than computation. Finally, seven of Qwen's CoT answers (three zero-shot CoT and one few-shot CoT on StrategyQA, and two zero-shot CoT and one few-shot CoT on GSM8K) reached the 1,000-token cap and were counted wrong, which slightly understates its CoT accuracy.</w:t>
      </w:r>
    </w:p>
    <w:p>
      <w:pPr>
        <w:keepNext/>
        <w:jc w:val="left"/>
      </w:pPr>
      <w:r>
        <w:rPr>
          <w:rFonts w:ascii="Times New Roman" w:hAnsi="Times New Roman" w:eastAsia="Times New Roman"/>
          <w:b/>
          <w:sz w:val="24"/>
        </w:rPr>
        <w:t>6.5 Discussion</w:t>
      </w:r>
    </w:p>
    <w:p>
      <w:pPr>
        <w:jc w:val="both"/>
      </w:pPr>
      <w:r>
        <w:rPr>
          <w:rFonts w:ascii="Times New Roman" w:hAnsi="Times New Roman" w:eastAsia="Times New Roman"/>
          <w:sz w:val="24"/>
        </w:rPr>
        <w:t>The results answer the objectives as follows. (1) Eliciting reasoning matters far more than adding examples when the task needs multi-step computation: on GSM8K both CoT strategies lifted accuracy by 35-45 percentage points, while examples alone added little. (2) The benefit is task dependent, in line with the meta-analysis of Sprague et al. [14]: on the commonsense task StrategyQA there was no significant gain from any strategy. (3) Examples help in a different way: they fix the answer format and, combined with reasoning, make the reasoning shorter, which is why few-shot CoT dominated zero-shot CoT on Date Understanding and in cost. (4) The larger model was more accurate everywhere it was tested and made better use of reasoning on arithmetic (93-95% versus 47-57%), but its absolute gain from CoT was similar (about 40 points versus 35-45), so reasoning prompts help models of both sizes. These conclusions apply to the specific models, datasets and 60-question samples used here.</w:t>
      </w:r>
    </w:p>
    <w:p>
      <w:pPr>
        <w:jc w:val="both"/>
      </w:pPr>
      <w:r>
        <w:rPr>
          <w:rFonts w:ascii="Times New Roman" w:hAnsi="Times New Roman" w:eastAsia="Times New Roman"/>
          <w:b/>
          <w:sz w:val="24"/>
        </w:rPr>
        <w:t>Practical implications.</w:t>
      </w:r>
      <w:r>
        <w:rPr>
          <w:rFonts w:ascii="Times New Roman" w:hAnsi="Times New Roman" w:eastAsia="Times New Roman"/>
          <w:sz w:val="24"/>
        </w:rPr>
        <w:t xml:space="preserve"> For calculating applications such as a bill, refund or interest bot, the results support few-shot CoT: worked examples gave the highest GSM8K accuracy with short answers. For a date-scheduling assistant the examples also prevented the format failures seen with zero-shot CoT. For a yes/no knowledge bot a short plain prompt is likely enough, since no strategy was significantly better on StrategyQA, and a long "think step by step" prompt costs up to about 80 times more output. These are suggestions from two models and three task types, not general rules.</w:t>
      </w:r>
    </w:p>
    <w:p>
      <w:pPr>
        <w:keepNext/>
        <w:spacing w:before="200"/>
        <w:jc w:val="left"/>
      </w:pPr>
      <w:r>
        <w:rPr>
          <w:rFonts w:ascii="Times New Roman" w:hAnsi="Times New Roman" w:eastAsia="Times New Roman"/>
          <w:b/>
          <w:sz w:val="28"/>
        </w:rPr>
        <w:t>7. Challenges and Limitations</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Incomplete design.</w:t>
      </w:r>
      <w:r>
        <w:rPr>
          <w:rFonts w:ascii="Times New Roman" w:hAnsi="Times New Roman" w:eastAsia="Times New Roman"/>
          <w:sz w:val="24"/>
        </w:rPr>
        <w:t xml:space="preserve"> The free API quota for Qwen3.8-27B (a daily cap of 200,000 tokens and 1,000 output tokens per minute) ended the run before Date Understanding could be tested, and StrategyQA was completed for 51 of 60 questions. The model-size comparison is therefore only available on GSM8K and StrategyQA.</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Small samples.</w:t>
      </w:r>
      <w:r>
        <w:rPr>
          <w:rFonts w:ascii="Times New Roman" w:hAnsi="Times New Roman" w:eastAsia="Times New Roman"/>
          <w:sz w:val="24"/>
        </w:rPr>
        <w:t xml:space="preserve"> With 51-60 questions per cell, the 95% intervals are about ±12 points wide, so small differences cannot be detected; many comparisons were not corrected for multiple testing.</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Model availability.</w:t>
      </w:r>
      <w:r>
        <w:rPr>
          <w:rFonts w:ascii="Times New Roman" w:hAnsi="Times New Roman" w:eastAsia="Times New Roman"/>
          <w:sz w:val="24"/>
        </w:rPr>
        <w:t xml:space="preserve"> The Llama models originally planned were no longer offered on the API, so ALLaM-2-7B and Qwen3.8-27B were used. Results may differ for other model families, and the models' training data may have included these public benchmarks.</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Single run at temperature 0.</w:t>
      </w:r>
      <w:r>
        <w:rPr>
          <w:rFonts w:ascii="Times New Roman" w:hAnsi="Times New Roman" w:eastAsia="Times New Roman"/>
          <w:sz w:val="24"/>
        </w:rPr>
        <w:t xml:space="preserve"> Run-to-run variation, and the effect of example choice and order [15], were not measured. Answer parsing relies on the model following the "Answer:" format, and truncated outputs count as wrong.</w:t>
      </w:r>
    </w:p>
    <w:p>
      <w:pPr>
        <w:keepNext/>
        <w:spacing w:before="200"/>
        <w:jc w:val="left"/>
      </w:pPr>
      <w:r>
        <w:rPr>
          <w:rFonts w:ascii="Times New Roman" w:hAnsi="Times New Roman" w:eastAsia="Times New Roman"/>
          <w:b/>
          <w:sz w:val="28"/>
        </w:rPr>
        <w:t>8. Future Work</w:t>
      </w:r>
    </w:p>
    <w:p>
      <w:pPr>
        <w:ind w:left="576" w:hanging="360"/>
        <w:jc w:val="both"/>
      </w:pPr>
      <w:r>
        <w:rPr>
          <w:rFonts w:ascii="Times New Roman" w:hAnsi="Times New Roman" w:eastAsia="Times New Roman"/>
          <w:sz w:val="24"/>
        </w:rPr>
        <w:t>•  Complete the Qwen3.8-27B Date Understanding runs (the runner is resumable) and increase the sample to 200 or more questions per dataset.</w:t>
      </w:r>
    </w:p>
    <w:p>
      <w:pPr>
        <w:ind w:left="576" w:hanging="360"/>
        <w:jc w:val="both"/>
      </w:pPr>
      <w:r>
        <w:rPr>
          <w:rFonts w:ascii="Times New Roman" w:hAnsi="Times New Roman" w:eastAsia="Times New Roman"/>
          <w:sz w:val="24"/>
        </w:rPr>
        <w:t>•  Add self-consistency voting [4] and least-to-most decomposition [9] and measure their accuracy-per-token against the four baselines.</w:t>
      </w:r>
    </w:p>
    <w:p>
      <w:pPr>
        <w:ind w:left="576" w:hanging="360"/>
        <w:jc w:val="both"/>
      </w:pPr>
      <w:r>
        <w:rPr>
          <w:rFonts w:ascii="Times New Roman" w:hAnsi="Times New Roman" w:eastAsia="Times New Roman"/>
          <w:sz w:val="24"/>
        </w:rPr>
        <w:t>•  Measure sensitivity to the choice and order of the examples [15], test automatic demonstrations [10], and include reasoning-native models, whose hidden reasoning may make prompt-level CoT unnecessary.</w:t>
      </w:r>
    </w:p>
    <w:p>
      <w:pPr>
        <w:keepNext/>
        <w:spacing w:before="200"/>
        <w:jc w:val="left"/>
      </w:pPr>
      <w:r>
        <w:rPr>
          <w:rFonts w:ascii="Times New Roman" w:hAnsi="Times New Roman" w:eastAsia="Times New Roman"/>
          <w:b/>
          <w:sz w:val="28"/>
        </w:rPr>
        <w:t>9. Conclusion</w:t>
      </w:r>
    </w:p>
    <w:p>
      <w:pPr>
        <w:jc w:val="both"/>
      </w:pPr>
      <w:r>
        <w:rPr>
          <w:rFonts w:ascii="Times New Roman" w:hAnsi="Times New Roman" w:eastAsia="Times New Roman"/>
          <w:sz w:val="24"/>
        </w:rPr>
        <w:t>This project compared zero-shot, zero-shot CoT, few-shot and few-shot CoT prompting on arithmetic, commonsense and temporal reasoning with two open-weight models. Chain-of-thought reasoning was the dominant factor for arithmetic: it raised GSM8K accuracy from 11.7% to as much as 56.7% for ALLaM-2-7B and from 53.3% to as much as 95.0% for Qwen3.8-27B, a significant gain in every case (p &lt; 0.001), whereas few-shot examples alone gave no significant gain. On StrategyQA no strategy was significantly better than another. Few-shot CoT was the most reliable overall: it had the highest accuracy in three of the five model-dataset settings (GSM8K for both models and Date Understanding), was within sampling error of the best on StrategyQA, avoided answer-format failures, and needed fewer output tokens than zero-shot CoT. The practical recommendation is to use few-shot CoT for computation-heavy tasks and plain prompts for knowledge-based questions. Because of the small samples and the incomplete Qwen runs, these findings should be confirmed on larger samples; all code, prompts and raw outputs are in the project repository.</w:t>
      </w:r>
    </w:p>
    <w:p>
      <w:pPr>
        <w:keepNext/>
        <w:spacing w:before="200"/>
        <w:jc w:val="left"/>
      </w:pPr>
      <w:r>
        <w:rPr>
          <w:rFonts w:ascii="Times New Roman" w:hAnsi="Times New Roman" w:eastAsia="Times New Roman"/>
          <w:b/>
          <w:sz w:val="28"/>
        </w:rPr>
        <w:t>References</w:t>
      </w:r>
    </w:p>
    <w:p>
      <w:pPr>
        <w:spacing w:line="240" w:lineRule="auto" w:after="40"/>
        <w:ind w:left="648" w:hanging="648"/>
        <w:jc w:val="both"/>
      </w:pPr>
      <w:r>
        <w:rPr>
          <w:rFonts w:ascii="Times New Roman" w:hAnsi="Times New Roman"/>
          <w:sz w:val="22"/>
        </w:rPr>
        <w:t>[1]  T. B. Brown et al., "Language models are few-shot learners," in Advances in Neural Information Processing Systems (NeurIPS), vol. 33, 2020. arXiv:2005.14165.</w:t>
      </w:r>
    </w:p>
    <w:p>
      <w:pPr>
        <w:spacing w:line="240" w:lineRule="auto" w:after="40"/>
        <w:ind w:left="648" w:hanging="648"/>
        <w:jc w:val="both"/>
      </w:pPr>
      <w:r>
        <w:rPr>
          <w:rFonts w:ascii="Times New Roman" w:hAnsi="Times New Roman"/>
          <w:sz w:val="22"/>
        </w:rPr>
        <w:t>[2]  J. Wei et al., "Chain-of-thought prompting elicits reasoning in large language models," in Advances in Neural Information Processing Systems (NeurIPS), vol. 35, 2022. arXiv:2201.11903.</w:t>
      </w:r>
    </w:p>
    <w:p>
      <w:pPr>
        <w:spacing w:line="240" w:lineRule="auto" w:after="40"/>
        <w:ind w:left="648" w:hanging="648"/>
        <w:jc w:val="both"/>
      </w:pPr>
      <w:r>
        <w:rPr>
          <w:rFonts w:ascii="Times New Roman" w:hAnsi="Times New Roman"/>
          <w:sz w:val="22"/>
        </w:rPr>
        <w:t>[3]  T. Kojima, S. S. Gu, M. Reid, Y. Matsuo, and Y. Iwasawa, "Large language models are zero-shot reasoners," in Advances in Neural Information Processing Systems (NeurIPS), vol. 35, 2022. arXiv:2205.11916.</w:t>
      </w:r>
    </w:p>
    <w:p>
      <w:pPr>
        <w:spacing w:line="240" w:lineRule="auto" w:after="40"/>
        <w:ind w:left="648" w:hanging="648"/>
        <w:jc w:val="both"/>
      </w:pPr>
      <w:r>
        <w:rPr>
          <w:rFonts w:ascii="Times New Roman" w:hAnsi="Times New Roman"/>
          <w:sz w:val="22"/>
        </w:rPr>
        <w:t>[4]  X. Wang et al., "Self-consistency improves chain of thought reasoning in language models," in Int. Conf. on Learning Representations (ICLR), 2023. arXiv:2203.11171.</w:t>
      </w:r>
    </w:p>
    <w:p>
      <w:pPr>
        <w:spacing w:line="240" w:lineRule="auto" w:after="40"/>
        <w:ind w:left="648" w:hanging="648"/>
        <w:jc w:val="both"/>
      </w:pPr>
      <w:r>
        <w:rPr>
          <w:rFonts w:ascii="Times New Roman" w:hAnsi="Times New Roman"/>
          <w:sz w:val="22"/>
        </w:rPr>
        <w:t>[5]  K. Cobbe et al., "Training verifiers to solve math word problems," arXiv preprint arXiv:2110.14168, 2021.</w:t>
      </w:r>
    </w:p>
    <w:p>
      <w:pPr>
        <w:spacing w:line="240" w:lineRule="auto" w:after="40"/>
        <w:ind w:left="648" w:hanging="648"/>
        <w:jc w:val="both"/>
      </w:pPr>
      <w:r>
        <w:rPr>
          <w:rFonts w:ascii="Times New Roman" w:hAnsi="Times New Roman"/>
          <w:sz w:val="22"/>
        </w:rPr>
        <w:t>[6]  M. Geva, D. Khashabi, E. Segal, T. Khot, D. Roth, and J. Berant, "Did Aristotle use a laptop? A question answering benchmark with implicit reasoning strategies," Trans. Assoc. Comput. Linguistics, vol. 9, 2021. arXiv:2101.02235.</w:t>
      </w:r>
    </w:p>
    <w:p>
      <w:pPr>
        <w:spacing w:line="240" w:lineRule="auto" w:after="40"/>
        <w:ind w:left="648" w:hanging="648"/>
        <w:jc w:val="both"/>
      </w:pPr>
      <w:r>
        <w:rPr>
          <w:rFonts w:ascii="Times New Roman" w:hAnsi="Times New Roman"/>
          <w:sz w:val="22"/>
        </w:rPr>
        <w:t>[7]  A. Srivastava et al., "Beyond the imitation game: Quantifying and extrapolating the capabilities of language models," Trans. Mach. Learn. Res., 2023. arXiv:2206.04615.</w:t>
      </w:r>
    </w:p>
    <w:p>
      <w:pPr>
        <w:spacing w:line="240" w:lineRule="auto" w:after="40"/>
        <w:ind w:left="648" w:hanging="648"/>
        <w:jc w:val="both"/>
      </w:pPr>
      <w:r>
        <w:rPr>
          <w:rFonts w:ascii="Times New Roman" w:hAnsi="Times New Roman"/>
          <w:sz w:val="22"/>
        </w:rPr>
        <w:t>[8]  S. Min et al., "Rethinking the role of demonstrations: What makes in-context learning work?," in Proc. Conf. on Empirical Methods in Natural Language Processing (EMNLP), 2022. arXiv:2202.12837.</w:t>
      </w:r>
    </w:p>
    <w:p>
      <w:pPr>
        <w:spacing w:line="240" w:lineRule="auto" w:after="40"/>
        <w:ind w:left="648" w:hanging="648"/>
        <w:jc w:val="both"/>
      </w:pPr>
      <w:r>
        <w:rPr>
          <w:rFonts w:ascii="Times New Roman" w:hAnsi="Times New Roman"/>
          <w:sz w:val="22"/>
        </w:rPr>
        <w:t>[9]  D. Zhou et al., "Least-to-most prompting enables complex reasoning in large language models," in Int. Conf. on Learning Representations (ICLR), 2023. arXiv:2205.10625.</w:t>
      </w:r>
    </w:p>
    <w:p>
      <w:pPr>
        <w:spacing w:line="240" w:lineRule="auto" w:after="40"/>
        <w:ind w:left="648" w:hanging="648"/>
        <w:jc w:val="both"/>
      </w:pPr>
      <w:r>
        <w:rPr>
          <w:rFonts w:ascii="Times New Roman" w:hAnsi="Times New Roman"/>
          <w:sz w:val="22"/>
        </w:rPr>
        <w:t>[10]  Z. Zhang, A. Zhang, M. Li, and A. Smola, "Automatic chain of thought prompting in large language models," in Int. Conf. on Learning Representations (ICLR), 2023. arXiv:2210.03493.</w:t>
      </w:r>
    </w:p>
    <w:p>
      <w:pPr>
        <w:spacing w:line="240" w:lineRule="auto" w:after="40"/>
        <w:ind w:left="648" w:hanging="648"/>
        <w:jc w:val="both"/>
      </w:pPr>
      <w:r>
        <w:rPr>
          <w:rFonts w:ascii="Times New Roman" w:hAnsi="Times New Roman"/>
          <w:sz w:val="22"/>
        </w:rPr>
        <w:t>[11]  T. Z. Zhao, E. Wallace, S. Feng, D. Klein, and S. Singh, "Calibrate before use: Improving few-shot performance of language models," in Proc. Int. Conf. on Machine Learning (ICML), 2021. arXiv:2102.09690.</w:t>
      </w:r>
    </w:p>
    <w:p>
      <w:pPr>
        <w:spacing w:line="240" w:lineRule="auto" w:after="40"/>
        <w:ind w:left="648" w:hanging="648"/>
        <w:jc w:val="both"/>
      </w:pPr>
      <w:r>
        <w:rPr>
          <w:rFonts w:ascii="Times New Roman" w:hAnsi="Times New Roman"/>
          <w:sz w:val="22"/>
        </w:rPr>
        <w:t>[12]  F. Shi et al., "Large language models can be easily distracted by irrelevant context," in Proc. Int. Conf. on Machine Learning (ICML), 2023. arXiv:2302.00093.</w:t>
      </w:r>
    </w:p>
    <w:p>
      <w:pPr>
        <w:spacing w:line="240" w:lineRule="auto" w:after="40"/>
        <w:ind w:left="648" w:hanging="648"/>
        <w:jc w:val="both"/>
      </w:pPr>
      <w:r>
        <w:rPr>
          <w:rFonts w:ascii="Times New Roman" w:hAnsi="Times New Roman"/>
          <w:sz w:val="22"/>
        </w:rPr>
        <w:t>[13]  M. Suzgun et al., "Challenging BIG-Bench tasks and whether chain-of-thought can solve them," in Findings of the Assoc. for Computational Linguistics (ACL), 2023. arXiv:2210.09261.</w:t>
      </w:r>
    </w:p>
    <w:p>
      <w:pPr>
        <w:spacing w:line="240" w:lineRule="auto" w:after="40"/>
        <w:ind w:left="648" w:hanging="648"/>
        <w:jc w:val="both"/>
      </w:pPr>
      <w:r>
        <w:rPr>
          <w:rFonts w:ascii="Times New Roman" w:hAnsi="Times New Roman"/>
          <w:sz w:val="22"/>
        </w:rPr>
        <w:t>[14]  Z. Sprague et al., "To CoT or not to CoT? Chain-of-thought helps mainly on math and symbolic reasoning," arXiv preprint arXiv:2409.12183, 2024.</w:t>
      </w:r>
    </w:p>
    <w:p>
      <w:pPr>
        <w:spacing w:line="240" w:lineRule="auto" w:after="40"/>
        <w:ind w:left="648" w:hanging="648"/>
        <w:jc w:val="both"/>
      </w:pPr>
      <w:r>
        <w:rPr>
          <w:rFonts w:ascii="Times New Roman" w:hAnsi="Times New Roman"/>
          <w:sz w:val="22"/>
        </w:rPr>
        <w:t>[15]  Y. Lu, M. Bartolo, A. Moore, S. Riedel, and P. Stenetorp, "Fantastically ordered prompts and where to find them: Overcoming few-shot prompt order sensitivity," in Proc. Annu. Meeting of the Assoc. for Computational Linguistics (ACL), 2022. arXiv:2104.08786.</w:t>
      </w:r>
    </w:p>
    <w:p>
      <w:pPr>
        <w:spacing w:line="240" w:lineRule="auto" w:after="40"/>
        <w:ind w:left="648" w:hanging="648"/>
        <w:jc w:val="both"/>
      </w:pPr>
      <w:r>
        <w:rPr>
          <w:rFonts w:ascii="Times New Roman" w:hAnsi="Times New Roman"/>
          <w:sz w:val="22"/>
        </w:rPr>
        <w:t>[16]  P. Sahoo et al., "A systematic survey of prompt engineering in large language models: Techniques and applications," arXiv preprint arXiv:2402.07927, 2024.</w:t>
      </w:r>
    </w:p>
    <w:p>
      <w:pPr>
        <w:spacing w:line="240" w:lineRule="auto" w:after="40"/>
        <w:ind w:left="648" w:hanging="648"/>
        <w:jc w:val="both"/>
      </w:pPr>
      <w:r>
        <w:rPr>
          <w:rFonts w:ascii="Times New Roman" w:hAnsi="Times New Roman"/>
          <w:sz w:val="22"/>
        </w:rPr>
        <w:t>[17]  S. Yao et al., "Tree of thoughts: Deliberate problem solving with large language models," in Advances in Neural Information Processing Systems (NeurIPS), vol. 36, 2023. arXiv:2305.10601.</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Evaluation of Zero Shot and Few Shot Prompting Strategies for Enhancing Complex Reasoning in Large Language Models</dc:title>
  <dc:subject>Prompt Engineering (IS4143) Research Based Project</dc:subject>
  <dc:creator>AYUSH ANAND</dc:creator>
  <cp:keywords/>
  <dc:description/>
  <cp:lastModifiedBy>AYUSH ANAND</cp:lastModifiedBy>
  <cp:revision>1</cp:revision>
  <dcterms:created xsi:type="dcterms:W3CDTF">2013-12-23T23:15:00Z</dcterms:created>
  <dcterms:modified xsi:type="dcterms:W3CDTF">2013-12-23T23:15:00Z</dcterms:modified>
  <cp:category/>
</cp:coreProperties>
</file>